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48" w:lineRule="exact"/>
        <w:rPr>
          <w:rFonts w:ascii="MS PGothic" w:cs="MS PGothic" w:eastAsia="MS PGothic" w:hAnsi="MS PGothic"/>
          <w:sz w:val="16"/>
          <w:szCs w:val="16"/>
          <w:color w:val="auto"/>
          <w:highlight w:val="black"/>
        </w:rPr>
      </w:pPr>
    </w:p>
    <w:p>
      <w:pPr>
        <w:ind w:left="424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fiscal year ended December 31, 2022</w:t>
      </w:r>
    </w:p>
    <w:p>
      <w:pPr>
        <w:spacing w:after="0" w:line="28" w:lineRule="exact"/>
        <w:rPr>
          <w:rFonts w:ascii="MS PGothic" w:cs="MS PGothic" w:eastAsia="MS PGothic" w:hAnsi="MS PGothic"/>
          <w:sz w:val="16"/>
          <w:szCs w:val="16"/>
          <w:color w:val="auto"/>
          <w:highlight w:val="black"/>
        </w:rPr>
      </w:pPr>
    </w:p>
    <w:p>
      <w:pPr>
        <w:ind w:left="552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OR</w:t>
      </w:r>
    </w:p>
    <w:p>
      <w:pPr>
        <w:spacing w:after="0" w:line="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48" w:lineRule="exact"/>
        <w:rPr>
          <w:rFonts w:ascii="MS PGothic" w:cs="MS PGothic" w:eastAsia="MS PGothic" w:hAnsi="MS PGothic"/>
          <w:sz w:val="16"/>
          <w:szCs w:val="16"/>
          <w:color w:val="auto"/>
          <w:highlight w:val="black"/>
        </w:rPr>
      </w:pPr>
    </w:p>
    <w:p>
      <w:pPr>
        <w:ind w:left="390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transition period from __________ to _________</w:t>
      </w:r>
    </w:p>
    <w:p>
      <w:pPr>
        <w:spacing w:after="0" w:line="28" w:lineRule="exact"/>
        <w:rPr>
          <w:rFonts w:ascii="MS PGothic" w:cs="MS PGothic" w:eastAsia="MS PGothic" w:hAnsi="MS PGothic"/>
          <w:sz w:val="16"/>
          <w:szCs w:val="16"/>
          <w:color w:val="auto"/>
          <w:highlight w:val="black"/>
        </w:rPr>
      </w:pPr>
    </w:p>
    <w:p>
      <w:pPr>
        <w:ind w:left="448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Commission File Number: 001-38682</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-274955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tbl>
      <w:tblPr>
        <w:tblLayout w:type="fixed"/>
        <w:tblInd w:w="380" w:type="dxa"/>
        <w:tblCellMar>
          <w:top w:w="0" w:type="dxa"/>
          <w:left w:w="0" w:type="dxa"/>
          <w:bottom w:w="0" w:type="dxa"/>
          <w:right w:w="0" w:type="dxa"/>
        </w:tblCellMar>
      </w:tblPr>
      <w:tr>
        <w:trPr>
          <w:trHeight w:val="186"/>
        </w:trPr>
        <w:tc>
          <w:tcPr>
            <w:tcW w:w="4100" w:type="dxa"/>
            <w:vAlign w:val="bottom"/>
          </w:tcPr>
          <w:p>
            <w:pPr>
              <w:jc w:val="center"/>
              <w:ind w:left="651"/>
              <w:spacing w:after="0"/>
              <w:rPr>
                <w:sz w:val="20"/>
                <w:szCs w:val="20"/>
                <w:color w:val="auto"/>
              </w:rPr>
            </w:pPr>
            <w:r>
              <w:rPr>
                <w:rFonts w:ascii="Arial" w:cs="Arial" w:eastAsia="Arial" w:hAnsi="Arial"/>
                <w:sz w:val="14"/>
                <w:szCs w:val="14"/>
                <w:b w:val="1"/>
                <w:bCs w:val="1"/>
                <w:color w:val="auto"/>
                <w:w w:val="94"/>
              </w:rPr>
              <w:t>Delaware</w:t>
            </w:r>
          </w:p>
        </w:tc>
        <w:tc>
          <w:tcPr>
            <w:tcW w:w="2460" w:type="dxa"/>
            <w:vAlign w:val="bottom"/>
          </w:tcPr>
          <w:p>
            <w:pPr>
              <w:spacing w:after="0"/>
              <w:rPr>
                <w:sz w:val="16"/>
                <w:szCs w:val="16"/>
                <w:color w:val="auto"/>
              </w:rPr>
            </w:pPr>
          </w:p>
        </w:tc>
        <w:tc>
          <w:tcPr>
            <w:tcW w:w="3400" w:type="dxa"/>
            <w:vAlign w:val="bottom"/>
          </w:tcPr>
          <w:p>
            <w:pPr>
              <w:jc w:val="right"/>
              <w:ind w:right="1452"/>
              <w:spacing w:after="0"/>
              <w:rPr>
                <w:sz w:val="20"/>
                <w:szCs w:val="20"/>
                <w:color w:val="auto"/>
              </w:rPr>
            </w:pPr>
            <w:r>
              <w:rPr>
                <w:rFonts w:ascii="Arial" w:cs="Arial" w:eastAsia="Arial" w:hAnsi="Arial"/>
                <w:sz w:val="14"/>
                <w:szCs w:val="14"/>
                <w:b w:val="1"/>
                <w:bCs w:val="1"/>
                <w:color w:val="auto"/>
              </w:rPr>
              <w:t>27-0476525</w:t>
            </w:r>
          </w:p>
        </w:tc>
      </w:tr>
      <w:tr>
        <w:trPr>
          <w:trHeight w:val="210"/>
        </w:trPr>
        <w:tc>
          <w:tcPr>
            <w:tcW w:w="4100" w:type="dxa"/>
            <w:vAlign w:val="bottom"/>
          </w:tcPr>
          <w:p>
            <w:pPr>
              <w:jc w:val="center"/>
              <w:ind w:left="651"/>
              <w:spacing w:after="0"/>
              <w:rPr>
                <w:sz w:val="20"/>
                <w:szCs w:val="20"/>
                <w:color w:val="auto"/>
              </w:rPr>
            </w:pPr>
            <w:r>
              <w:rPr>
                <w:rFonts w:ascii="Arial" w:cs="Arial" w:eastAsia="Arial" w:hAnsi="Arial"/>
                <w:sz w:val="13"/>
                <w:szCs w:val="13"/>
                <w:b w:val="1"/>
                <w:bCs w:val="1"/>
                <w:color w:val="auto"/>
                <w:w w:val="88"/>
              </w:rPr>
              <w:t>(State or other jurisdiction of</w:t>
            </w:r>
          </w:p>
        </w:tc>
        <w:tc>
          <w:tcPr>
            <w:tcW w:w="2460" w:type="dxa"/>
            <w:vAlign w:val="bottom"/>
          </w:tcPr>
          <w:p>
            <w:pPr>
              <w:spacing w:after="0"/>
              <w:rPr>
                <w:sz w:val="18"/>
                <w:szCs w:val="18"/>
                <w:color w:val="auto"/>
              </w:rPr>
            </w:pPr>
          </w:p>
        </w:tc>
        <w:tc>
          <w:tcPr>
            <w:tcW w:w="3400" w:type="dxa"/>
            <w:vAlign w:val="bottom"/>
          </w:tcPr>
          <w:p>
            <w:pPr>
              <w:jc w:val="center"/>
              <w:ind w:right="272"/>
              <w:spacing w:after="0"/>
              <w:rPr>
                <w:sz w:val="20"/>
                <w:szCs w:val="20"/>
                <w:color w:val="auto"/>
              </w:rPr>
            </w:pPr>
            <w:r>
              <w:rPr>
                <w:rFonts w:ascii="Arial" w:cs="Arial" w:eastAsia="Arial" w:hAnsi="Arial"/>
                <w:sz w:val="13"/>
                <w:szCs w:val="13"/>
                <w:b w:val="1"/>
                <w:bCs w:val="1"/>
                <w:color w:val="auto"/>
                <w:w w:val="90"/>
              </w:rPr>
              <w:t>(I.R.S. Employer</w:t>
            </w:r>
          </w:p>
        </w:tc>
      </w:tr>
      <w:tr>
        <w:trPr>
          <w:trHeight w:val="178"/>
        </w:trPr>
        <w:tc>
          <w:tcPr>
            <w:tcW w:w="4100" w:type="dxa"/>
            <w:vAlign w:val="bottom"/>
          </w:tcPr>
          <w:p>
            <w:pPr>
              <w:jc w:val="center"/>
              <w:ind w:left="651"/>
              <w:spacing w:after="0"/>
              <w:rPr>
                <w:sz w:val="20"/>
                <w:szCs w:val="20"/>
                <w:color w:val="auto"/>
              </w:rPr>
            </w:pPr>
            <w:r>
              <w:rPr>
                <w:rFonts w:ascii="Arial" w:cs="Arial" w:eastAsia="Arial" w:hAnsi="Arial"/>
                <w:sz w:val="13"/>
                <w:szCs w:val="13"/>
                <w:b w:val="1"/>
                <w:bCs w:val="1"/>
                <w:color w:val="auto"/>
                <w:w w:val="89"/>
              </w:rPr>
              <w:t>incorporation or organization)</w:t>
            </w:r>
          </w:p>
        </w:tc>
        <w:tc>
          <w:tcPr>
            <w:tcW w:w="2460" w:type="dxa"/>
            <w:vAlign w:val="bottom"/>
          </w:tcPr>
          <w:p>
            <w:pPr>
              <w:spacing w:after="0"/>
              <w:rPr>
                <w:sz w:val="15"/>
                <w:szCs w:val="15"/>
                <w:color w:val="auto"/>
              </w:rPr>
            </w:pPr>
          </w:p>
        </w:tc>
        <w:tc>
          <w:tcPr>
            <w:tcW w:w="3400" w:type="dxa"/>
            <w:vAlign w:val="bottom"/>
          </w:tcPr>
          <w:p>
            <w:pPr>
              <w:jc w:val="center"/>
              <w:ind w:right="272"/>
              <w:spacing w:after="0"/>
              <w:rPr>
                <w:sz w:val="20"/>
                <w:szCs w:val="20"/>
                <w:color w:val="auto"/>
              </w:rPr>
            </w:pPr>
            <w:r>
              <w:rPr>
                <w:rFonts w:ascii="Arial" w:cs="Arial" w:eastAsia="Arial" w:hAnsi="Arial"/>
                <w:sz w:val="13"/>
                <w:szCs w:val="13"/>
                <w:b w:val="1"/>
                <w:bCs w:val="1"/>
                <w:color w:val="auto"/>
                <w:w w:val="89"/>
              </w:rPr>
              <w:t>Identification No.)</w:t>
            </w:r>
          </w:p>
        </w:tc>
      </w:tr>
      <w:tr>
        <w:trPr>
          <w:trHeight w:val="206"/>
        </w:trPr>
        <w:tc>
          <w:tcPr>
            <w:tcW w:w="4100" w:type="dxa"/>
            <w:vAlign w:val="bottom"/>
          </w:tcPr>
          <w:p>
            <w:pPr>
              <w:jc w:val="center"/>
              <w:ind w:left="651"/>
              <w:spacing w:after="0"/>
              <w:rPr>
                <w:sz w:val="20"/>
                <w:szCs w:val="20"/>
                <w:color w:val="auto"/>
              </w:rPr>
            </w:pPr>
            <w:r>
              <w:rPr>
                <w:rFonts w:ascii="Arial" w:cs="Arial" w:eastAsia="Arial" w:hAnsi="Arial"/>
                <w:sz w:val="14"/>
                <w:szCs w:val="14"/>
                <w:b w:val="1"/>
                <w:bCs w:val="1"/>
                <w:color w:val="auto"/>
                <w:w w:val="93"/>
              </w:rPr>
              <w:t>1200 Page Mill Road</w:t>
            </w:r>
          </w:p>
        </w:tc>
        <w:tc>
          <w:tcPr>
            <w:tcW w:w="246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89"/>
        </w:trPr>
        <w:tc>
          <w:tcPr>
            <w:tcW w:w="4100" w:type="dxa"/>
            <w:vAlign w:val="bottom"/>
          </w:tcPr>
          <w:p>
            <w:pPr>
              <w:jc w:val="center"/>
              <w:ind w:left="651"/>
              <w:spacing w:after="0"/>
              <w:rPr>
                <w:sz w:val="20"/>
                <w:szCs w:val="20"/>
                <w:color w:val="auto"/>
              </w:rPr>
            </w:pPr>
            <w:r>
              <w:rPr>
                <w:rFonts w:ascii="Arial" w:cs="Arial" w:eastAsia="Arial" w:hAnsi="Arial"/>
                <w:sz w:val="14"/>
                <w:szCs w:val="14"/>
                <w:b w:val="1"/>
                <w:bCs w:val="1"/>
                <w:color w:val="auto"/>
                <w:w w:val="96"/>
              </w:rPr>
              <w:t>Palo Alto, CA</w:t>
            </w:r>
          </w:p>
        </w:tc>
        <w:tc>
          <w:tcPr>
            <w:tcW w:w="2460" w:type="dxa"/>
            <w:vAlign w:val="bottom"/>
          </w:tcPr>
          <w:p>
            <w:pPr>
              <w:spacing w:after="0"/>
              <w:rPr>
                <w:sz w:val="16"/>
                <w:szCs w:val="16"/>
                <w:color w:val="auto"/>
              </w:rPr>
            </w:pPr>
          </w:p>
        </w:tc>
        <w:tc>
          <w:tcPr>
            <w:tcW w:w="3400" w:type="dxa"/>
            <w:vAlign w:val="bottom"/>
          </w:tcPr>
          <w:p>
            <w:pPr>
              <w:jc w:val="right"/>
              <w:ind w:right="1632"/>
              <w:spacing w:after="0"/>
              <w:rPr>
                <w:sz w:val="20"/>
                <w:szCs w:val="20"/>
                <w:color w:val="auto"/>
              </w:rPr>
            </w:pPr>
            <w:r>
              <w:rPr>
                <w:rFonts w:ascii="Arial" w:cs="Arial" w:eastAsia="Arial" w:hAnsi="Arial"/>
                <w:sz w:val="14"/>
                <w:szCs w:val="14"/>
                <w:b w:val="1"/>
                <w:bCs w:val="1"/>
                <w:color w:val="auto"/>
              </w:rPr>
              <w:t>94304</w:t>
            </w:r>
          </w:p>
        </w:tc>
      </w:tr>
      <w:tr>
        <w:trPr>
          <w:trHeight w:val="199"/>
        </w:trPr>
        <w:tc>
          <w:tcPr>
            <w:tcW w:w="4100" w:type="dxa"/>
            <w:vAlign w:val="bottom"/>
          </w:tcPr>
          <w:p>
            <w:pPr>
              <w:jc w:val="center"/>
              <w:ind w:left="651"/>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460" w:type="dxa"/>
            <w:vAlign w:val="bottom"/>
          </w:tcPr>
          <w:p>
            <w:pPr>
              <w:spacing w:after="0"/>
              <w:rPr>
                <w:sz w:val="17"/>
                <w:szCs w:val="17"/>
                <w:color w:val="auto"/>
              </w:rPr>
            </w:pPr>
          </w:p>
        </w:tc>
        <w:tc>
          <w:tcPr>
            <w:tcW w:w="3400" w:type="dxa"/>
            <w:vAlign w:val="bottom"/>
          </w:tcPr>
          <w:p>
            <w:pPr>
              <w:jc w:val="center"/>
              <w:ind w:right="272"/>
              <w:spacing w:after="0"/>
              <w:rPr>
                <w:sz w:val="20"/>
                <w:szCs w:val="20"/>
                <w:color w:val="auto"/>
              </w:rPr>
            </w:pPr>
            <w:r>
              <w:rPr>
                <w:rFonts w:ascii="Arial" w:cs="Arial" w:eastAsia="Arial" w:hAnsi="Arial"/>
                <w:sz w:val="13"/>
                <w:szCs w:val="13"/>
                <w:b w:val="1"/>
                <w:bCs w:val="1"/>
                <w:color w:val="auto"/>
                <w:w w:val="90"/>
              </w:rPr>
              <w:t>(Zip Code)</w:t>
            </w:r>
          </w:p>
        </w:tc>
      </w:tr>
      <w:tr>
        <w:trPr>
          <w:trHeight w:val="206"/>
        </w:trPr>
        <w:tc>
          <w:tcPr>
            <w:tcW w:w="9960" w:type="dxa"/>
            <w:vAlign w:val="bottom"/>
            <w:gridSpan w:val="3"/>
          </w:tcPr>
          <w:p>
            <w:pPr>
              <w:jc w:val="center"/>
              <w:ind w:left="471"/>
              <w:spacing w:after="0"/>
              <w:rPr>
                <w:sz w:val="20"/>
                <w:szCs w:val="20"/>
                <w:color w:val="auto"/>
              </w:rPr>
            </w:pPr>
            <w:r>
              <w:rPr>
                <w:rFonts w:ascii="Arial" w:cs="Arial" w:eastAsia="Arial" w:hAnsi="Arial"/>
                <w:sz w:val="14"/>
                <w:szCs w:val="14"/>
                <w:b w:val="1"/>
                <w:bCs w:val="1"/>
                <w:color w:val="auto"/>
                <w:w w:val="92"/>
              </w:rPr>
              <w:t>Registrant’s telephone number, including area code: (650) 281-0850</w:t>
            </w:r>
          </w:p>
        </w:tc>
      </w:tr>
      <w:tr>
        <w:trPr>
          <w:trHeight w:val="256"/>
        </w:trPr>
        <w:tc>
          <w:tcPr>
            <w:tcW w:w="4100" w:type="dxa"/>
            <w:vAlign w:val="bottom"/>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460" w:type="dxa"/>
            <w:vAlign w:val="bottom"/>
          </w:tcPr>
          <w:p>
            <w:pPr>
              <w:spacing w:after="0"/>
              <w:rPr>
                <w:sz w:val="22"/>
                <w:szCs w:val="22"/>
                <w:color w:val="auto"/>
              </w:rPr>
            </w:pPr>
          </w:p>
        </w:tc>
        <w:tc>
          <w:tcPr>
            <w:tcW w:w="3400" w:type="dxa"/>
            <w:vAlign w:val="bottom"/>
          </w:tcPr>
          <w:p>
            <w:pPr>
              <w:spacing w:after="0"/>
              <w:rPr>
                <w:sz w:val="22"/>
                <w:szCs w:val="22"/>
                <w:color w:val="auto"/>
              </w:rPr>
            </w:pPr>
          </w:p>
        </w:tc>
      </w:tr>
      <w:tr>
        <w:trPr>
          <w:trHeight w:val="236"/>
        </w:trPr>
        <w:tc>
          <w:tcPr>
            <w:tcW w:w="4100" w:type="dxa"/>
            <w:vAlign w:val="bottom"/>
          </w:tcPr>
          <w:p>
            <w:pPr>
              <w:jc w:val="center"/>
              <w:ind w:right="271"/>
              <w:spacing w:after="0"/>
              <w:rPr>
                <w:sz w:val="20"/>
                <w:szCs w:val="20"/>
                <w:color w:val="auto"/>
              </w:rPr>
            </w:pPr>
            <w:r>
              <w:rPr>
                <w:rFonts w:ascii="Arial" w:cs="Arial" w:eastAsia="Arial" w:hAnsi="Arial"/>
                <w:sz w:val="14"/>
                <w:szCs w:val="14"/>
                <w:b w:val="1"/>
                <w:bCs w:val="1"/>
                <w:color w:val="auto"/>
                <w:w w:val="89"/>
              </w:rPr>
              <w:t>Title of each class</w:t>
            </w:r>
          </w:p>
        </w:tc>
        <w:tc>
          <w:tcPr>
            <w:tcW w:w="246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Trading Symbol(s)</w:t>
            </w:r>
          </w:p>
        </w:tc>
        <w:tc>
          <w:tcPr>
            <w:tcW w:w="3400" w:type="dxa"/>
            <w:vAlign w:val="bottom"/>
          </w:tcPr>
          <w:p>
            <w:pPr>
              <w:jc w:val="center"/>
              <w:ind w:left="65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4100" w:type="dxa"/>
            <w:vAlign w:val="bottom"/>
          </w:tcPr>
          <w:p>
            <w:pPr>
              <w:jc w:val="center"/>
              <w:ind w:right="291"/>
              <w:spacing w:after="0"/>
              <w:rPr>
                <w:sz w:val="20"/>
                <w:szCs w:val="20"/>
                <w:color w:val="auto"/>
              </w:rPr>
            </w:pPr>
            <w:r>
              <w:rPr>
                <w:rFonts w:ascii="Arial" w:cs="Arial" w:eastAsia="Arial" w:hAnsi="Arial"/>
                <w:sz w:val="14"/>
                <w:szCs w:val="14"/>
                <w:color w:val="auto"/>
                <w:w w:val="92"/>
              </w:rPr>
              <w:t>Common stock, par value $0.0001</w:t>
            </w:r>
          </w:p>
        </w:tc>
        <w:tc>
          <w:tcPr>
            <w:tcW w:w="2460" w:type="dxa"/>
            <w:vAlign w:val="bottom"/>
          </w:tcPr>
          <w:p>
            <w:pPr>
              <w:jc w:val="center"/>
              <w:ind w:right="88"/>
              <w:spacing w:after="0"/>
              <w:rPr>
                <w:sz w:val="20"/>
                <w:szCs w:val="20"/>
                <w:color w:val="auto"/>
              </w:rPr>
            </w:pPr>
            <w:r>
              <w:rPr>
                <w:rFonts w:ascii="Arial" w:cs="Arial" w:eastAsia="Arial" w:hAnsi="Arial"/>
                <w:sz w:val="14"/>
                <w:szCs w:val="14"/>
                <w:color w:val="auto"/>
                <w:w w:val="98"/>
              </w:rPr>
              <w:t>KOD</w:t>
            </w:r>
          </w:p>
        </w:tc>
        <w:tc>
          <w:tcPr>
            <w:tcW w:w="3400" w:type="dxa"/>
            <w:vAlign w:val="bottom"/>
          </w:tcPr>
          <w:p>
            <w:pPr>
              <w:jc w:val="center"/>
              <w:ind w:left="652"/>
              <w:spacing w:after="0"/>
              <w:rPr>
                <w:sz w:val="20"/>
                <w:szCs w:val="20"/>
                <w:color w:val="auto"/>
              </w:rPr>
            </w:pPr>
            <w:r>
              <w:rPr>
                <w:rFonts w:ascii="Arial" w:cs="Arial" w:eastAsia="Arial" w:hAnsi="Arial"/>
                <w:sz w:val="14"/>
                <w:szCs w:val="14"/>
                <w:color w:val="auto"/>
                <w:w w:val="94"/>
              </w:rPr>
              <w:t>The Nasdaq Stock Market LLC</w:t>
            </w:r>
          </w:p>
        </w:tc>
      </w:tr>
    </w:tbl>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ind w:left="380" w:right="3180"/>
        <w:spacing w:after="0" w:line="21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firstLine="37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20" w:firstLine="37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374"/>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7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7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0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840" w:type="dxa"/>
            <w:vAlign w:val="bottom"/>
          </w:tcPr>
          <w:p>
            <w:pPr>
              <w:ind w:left="27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right="200" w:firstLine="37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140" w:firstLine="374"/>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374"/>
        <w:spacing w:after="0" w:line="17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5" w:lineRule="exact"/>
        <w:rPr>
          <w:sz w:val="24"/>
          <w:szCs w:val="24"/>
          <w:color w:val="auto"/>
        </w:rPr>
      </w:pPr>
    </w:p>
    <w:p>
      <w:pPr>
        <w:ind w:right="500" w:firstLine="374"/>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jc w:val="both"/>
        <w:ind w:right="20" w:firstLine="374"/>
        <w:spacing w:after="0" w:line="276" w:lineRule="auto"/>
        <w:rPr>
          <w:sz w:val="20"/>
          <w:szCs w:val="20"/>
          <w:color w:val="auto"/>
        </w:rPr>
      </w:pPr>
      <w:r>
        <w:rPr>
          <w:rFonts w:ascii="Arial" w:cs="Arial" w:eastAsia="Arial" w:hAnsi="Arial"/>
          <w:sz w:val="12"/>
          <w:szCs w:val="12"/>
          <w:color w:val="auto"/>
        </w:rPr>
        <w:t>The aggregate market value of the common stock held by non-affiliates of the registrant, based on the closing price of a share of the registrant’s common stock on June 30, 2022 as reported by the Nasdaq Global Market on such date, was approximately $242.6 million.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1" w:lineRule="exact"/>
        <w:rPr>
          <w:sz w:val="24"/>
          <w:szCs w:val="24"/>
          <w:color w:val="auto"/>
        </w:rPr>
      </w:pPr>
    </w:p>
    <w:p>
      <w:pPr>
        <w:ind w:left="380"/>
        <w:spacing w:after="0"/>
        <w:rPr>
          <w:sz w:val="20"/>
          <w:szCs w:val="20"/>
          <w:color w:val="auto"/>
        </w:rPr>
      </w:pPr>
      <w:r>
        <w:rPr>
          <w:rFonts w:ascii="Arial" w:cs="Arial" w:eastAsia="Arial" w:hAnsi="Arial"/>
          <w:sz w:val="14"/>
          <w:szCs w:val="14"/>
          <w:color w:val="auto"/>
        </w:rPr>
        <w:t>As of February 28, 2023, the registrant had 52,336,448 shares of common stock, $0.0001 par value per share, outstanding.</w:t>
      </w:r>
    </w:p>
    <w:p>
      <w:pPr>
        <w:spacing w:after="0" w:line="24"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right="160" w:firstLine="374"/>
        <w:spacing w:after="0" w:line="280" w:lineRule="auto"/>
        <w:rPr>
          <w:sz w:val="20"/>
          <w:szCs w:val="20"/>
          <w:color w:val="auto"/>
        </w:rPr>
      </w:pPr>
      <w:r>
        <w:rPr>
          <w:rFonts w:ascii="Arial" w:cs="Arial" w:eastAsia="Arial" w:hAnsi="Arial"/>
          <w:sz w:val="13"/>
          <w:szCs w:val="13"/>
          <w:color w:val="auto"/>
        </w:rPr>
        <w:t>Portions of the registrant’s definitive Proxy Statement relating to the 2023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 for the Fiscal Year Ended December 31, 2022</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r>
      <w:tr>
        <w:trPr>
          <w:trHeight w:val="183"/>
        </w:trPr>
        <w:tc>
          <w:tcPr>
            <w:tcW w:w="1200" w:type="dxa"/>
            <w:vAlign w:val="bottom"/>
          </w:tcPr>
          <w:p>
            <w:pPr>
              <w:spacing w:after="0"/>
              <w:rPr>
                <w:sz w:val="15"/>
                <w:szCs w:val="15"/>
                <w:color w:val="auto"/>
              </w:rPr>
            </w:pPr>
          </w:p>
        </w:tc>
        <w:tc>
          <w:tcPr>
            <w:tcW w:w="9100" w:type="dxa"/>
            <w:vAlign w:val="bottom"/>
            <w:gridSpan w:val="26"/>
          </w:tcPr>
          <w:p>
            <w:pPr>
              <w:spacing w:after="0" w:line="182" w:lineRule="exact"/>
              <w:rPr>
                <w:sz w:val="20"/>
                <w:szCs w:val="20"/>
                <w:color w:val="auto"/>
              </w:rPr>
            </w:pPr>
            <w:r>
              <w:rPr>
                <w:rFonts w:ascii="Arial" w:cs="Arial" w:eastAsia="Arial" w:hAnsi="Arial"/>
                <w:sz w:val="18"/>
                <w:szCs w:val="18"/>
                <w:color w:val="0000FF"/>
              </w:rPr>
              <w:t>Special Note Regarding Forward-Looking Statements</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r>
      <w:tr>
        <w:trPr>
          <w:trHeight w:val="223"/>
        </w:trPr>
        <w:tc>
          <w:tcPr>
            <w:tcW w:w="1200" w:type="dxa"/>
            <w:vAlign w:val="bottom"/>
          </w:tcPr>
          <w:p>
            <w:pPr>
              <w:spacing w:after="0"/>
              <w:rPr>
                <w:sz w:val="19"/>
                <w:szCs w:val="19"/>
                <w:color w:val="auto"/>
              </w:rPr>
            </w:pPr>
          </w:p>
        </w:tc>
        <w:tc>
          <w:tcPr>
            <w:tcW w:w="38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Risk Factor Summary</w:t>
            </w:r>
          </w:p>
        </w:tc>
        <w:tc>
          <w:tcPr>
            <w:tcW w:w="5220" w:type="dxa"/>
            <w:vAlign w:val="bottom"/>
            <w:gridSpan w:val="9"/>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iv</w:t>
            </w:r>
          </w:p>
        </w:tc>
      </w:tr>
      <w:tr>
        <w:trPr>
          <w:trHeight w:val="263"/>
        </w:trPr>
        <w:tc>
          <w:tcPr>
            <w:tcW w:w="12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3"/>
        </w:trPr>
        <w:tc>
          <w:tcPr>
            <w:tcW w:w="120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100" w:type="dxa"/>
            <w:vAlign w:val="bottom"/>
            <w:gridSpan w:val="26"/>
          </w:tcPr>
          <w:p>
            <w:pPr>
              <w:spacing w:after="0" w:line="202" w:lineRule="exact"/>
              <w:rPr>
                <w:sz w:val="20"/>
                <w:szCs w:val="20"/>
                <w:color w:val="auto"/>
              </w:rPr>
            </w:pPr>
            <w:r>
              <w:rPr>
                <w:rFonts w:ascii="Arial" w:cs="Arial" w:eastAsia="Arial" w:hAnsi="Arial"/>
                <w:sz w:val="18"/>
                <w:szCs w:val="18"/>
                <w:color w:val="0000FF"/>
              </w:rPr>
              <w:t>Business</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
        </w:trPr>
        <w:tc>
          <w:tcPr>
            <w:tcW w:w="120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9100" w:type="dxa"/>
            <w:vAlign w:val="bottom"/>
            <w:gridSpan w:val="26"/>
          </w:tcPr>
          <w:p>
            <w:pPr>
              <w:spacing w:after="0"/>
              <w:rPr>
                <w:sz w:val="20"/>
                <w:szCs w:val="20"/>
                <w:color w:val="auto"/>
              </w:rPr>
            </w:pPr>
            <w:r>
              <w:rPr>
                <w:rFonts w:ascii="Arial" w:cs="Arial" w:eastAsia="Arial" w:hAnsi="Arial"/>
                <w:sz w:val="18"/>
                <w:szCs w:val="18"/>
                <w:color w:val="0000FF"/>
              </w:rPr>
              <w:t>Risk Factors</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2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1B.</w:t>
            </w:r>
          </w:p>
        </w:tc>
        <w:tc>
          <w:tcPr>
            <w:tcW w:w="9100" w:type="dxa"/>
            <w:vAlign w:val="bottom"/>
            <w:gridSpan w:val="26"/>
          </w:tcPr>
          <w:p>
            <w:pPr>
              <w:spacing w:after="0"/>
              <w:rPr>
                <w:sz w:val="20"/>
                <w:szCs w:val="20"/>
                <w:color w:val="auto"/>
              </w:rPr>
            </w:pPr>
            <w:r>
              <w:rPr>
                <w:rFonts w:ascii="Arial" w:cs="Arial" w:eastAsia="Arial" w:hAnsi="Arial"/>
                <w:sz w:val="18"/>
                <w:szCs w:val="18"/>
                <w:color w:val="0000FF"/>
              </w:rPr>
              <w:t>Unresolved Staff Comments</w:t>
            </w: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7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Properties</w:t>
            </w:r>
          </w:p>
        </w:tc>
        <w:tc>
          <w:tcPr>
            <w:tcW w:w="1280" w:type="dxa"/>
            <w:vAlign w:val="bottom"/>
            <w:tcBorders>
              <w:top w:val="single" w:sz="8" w:color="0000FF"/>
            </w:tcBorders>
            <w:gridSpan w:val="9"/>
          </w:tcPr>
          <w:p>
            <w:pPr>
              <w:spacing w:after="0"/>
              <w:rPr>
                <w:sz w:val="19"/>
                <w:szCs w:val="19"/>
                <w:color w:val="auto"/>
              </w:rPr>
            </w:pPr>
          </w:p>
        </w:tc>
        <w:tc>
          <w:tcPr>
            <w:tcW w:w="7060" w:type="dxa"/>
            <w:vAlign w:val="bottom"/>
            <w:gridSpan w:val="14"/>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20" w:type="dxa"/>
            <w:vAlign w:val="bottom"/>
            <w:tcBorders>
              <w:bottom w:val="single" w:sz="8" w:color="0000EE"/>
            </w:tcBorders>
          </w:tcPr>
          <w:p>
            <w:pPr>
              <w:spacing w:after="0"/>
              <w:rPr>
                <w:sz w:val="19"/>
                <w:szCs w:val="19"/>
                <w:color w:val="auto"/>
              </w:rPr>
            </w:pPr>
          </w:p>
        </w:tc>
        <w:tc>
          <w:tcPr>
            <w:tcW w:w="7740" w:type="dxa"/>
            <w:vAlign w:val="bottom"/>
            <w:gridSpan w:val="19"/>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12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3"/>
        </w:trPr>
        <w:tc>
          <w:tcPr>
            <w:tcW w:w="1200" w:type="dxa"/>
            <w:vAlign w:val="bottom"/>
          </w:tcPr>
          <w:p>
            <w:pPr>
              <w:spacing w:after="0" w:line="202" w:lineRule="exact"/>
              <w:rPr>
                <w:sz w:val="20"/>
                <w:szCs w:val="20"/>
                <w:color w:val="auto"/>
              </w:rPr>
            </w:pPr>
            <w:r>
              <w:rPr>
                <w:rFonts w:ascii="Arial" w:cs="Arial" w:eastAsia="Arial" w:hAnsi="Arial"/>
                <w:sz w:val="18"/>
                <w:szCs w:val="18"/>
                <w:color w:val="auto"/>
              </w:rPr>
              <w:t>Item 5.</w:t>
            </w:r>
          </w:p>
        </w:tc>
        <w:tc>
          <w:tcPr>
            <w:tcW w:w="9100" w:type="dxa"/>
            <w:vAlign w:val="bottom"/>
            <w:gridSpan w:val="26"/>
          </w:tcPr>
          <w:p>
            <w:pPr>
              <w:spacing w:after="0" w:line="202" w:lineRule="exact"/>
              <w:rPr>
                <w:sz w:val="20"/>
                <w:szCs w:val="20"/>
                <w:color w:val="auto"/>
              </w:rPr>
            </w:pPr>
            <w:r>
              <w:rPr>
                <w:rFonts w:ascii="Arial" w:cs="Arial" w:eastAsia="Arial" w:hAnsi="Arial"/>
                <w:sz w:val="18"/>
                <w:szCs w:val="18"/>
                <w:color w:val="0000FF"/>
              </w:rPr>
              <w:t>Market for Registrant’s Common Equity, Related Stockholders Matters and Issuer Purchases of Equity Securities</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6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5"/>
              </w:rPr>
              <w:t>Reserved</w:t>
            </w:r>
          </w:p>
        </w:tc>
        <w:tc>
          <w:tcPr>
            <w:tcW w:w="80" w:type="dxa"/>
            <w:vAlign w:val="bottom"/>
            <w:tcBorders>
              <w:top w:val="single" w:sz="8" w:color="0000FF"/>
              <w:bottom w:val="single" w:sz="8" w:color="0000EE"/>
            </w:tcBorders>
          </w:tcPr>
          <w:p>
            <w:pPr>
              <w:spacing w:after="0"/>
              <w:rPr>
                <w:sz w:val="19"/>
                <w:szCs w:val="19"/>
                <w:color w:val="auto"/>
              </w:rPr>
            </w:pPr>
          </w:p>
        </w:tc>
        <w:tc>
          <w:tcPr>
            <w:tcW w:w="7380" w:type="dxa"/>
            <w:vAlign w:val="bottom"/>
            <w:tcBorders>
              <w:top w:val="single" w:sz="8" w:color="0000FF"/>
            </w:tcBorders>
            <w:gridSpan w:val="22"/>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640" w:type="dxa"/>
            <w:vAlign w:val="bottom"/>
            <w:gridSpan w:val="4"/>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7A.</w:t>
            </w:r>
          </w:p>
        </w:tc>
        <w:tc>
          <w:tcPr>
            <w:tcW w:w="9100" w:type="dxa"/>
            <w:vAlign w:val="bottom"/>
            <w:gridSpan w:val="2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top w:val="single" w:sz="8" w:color="0000FF"/>
              <w:bottom w:val="single" w:sz="8" w:color="0000EE"/>
            </w:tcBorders>
          </w:tcPr>
          <w:p>
            <w:pPr>
              <w:spacing w:after="0"/>
              <w:rPr>
                <w:sz w:val="19"/>
                <w:szCs w:val="19"/>
                <w:color w:val="auto"/>
              </w:rPr>
            </w:pPr>
          </w:p>
        </w:tc>
        <w:tc>
          <w:tcPr>
            <w:tcW w:w="1000" w:type="dxa"/>
            <w:vAlign w:val="bottom"/>
            <w:tcBorders>
              <w:top w:val="single" w:sz="8" w:color="0000FF"/>
            </w:tcBorders>
            <w:gridSpan w:val="3"/>
          </w:tcPr>
          <w:p>
            <w:pPr>
              <w:spacing w:after="0"/>
              <w:rPr>
                <w:sz w:val="19"/>
                <w:szCs w:val="19"/>
                <w:color w:val="auto"/>
              </w:rPr>
            </w:pPr>
          </w:p>
        </w:tc>
        <w:tc>
          <w:tcPr>
            <w:tcW w:w="4740" w:type="dxa"/>
            <w:vAlign w:val="bottom"/>
            <w:gridSpan w:val="7"/>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9.</w:t>
            </w:r>
          </w:p>
        </w:tc>
        <w:tc>
          <w:tcPr>
            <w:tcW w:w="9100" w:type="dxa"/>
            <w:vAlign w:val="bottom"/>
            <w:gridSpan w:val="26"/>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Disclosures</w:t>
            </w: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88"/>
              </w:rPr>
              <w:t>Controls and Procedures</w:t>
            </w:r>
          </w:p>
        </w:tc>
        <w:tc>
          <w:tcPr>
            <w:tcW w:w="4800" w:type="dxa"/>
            <w:vAlign w:val="bottom"/>
            <w:tcBorders>
              <w:top w:val="single" w:sz="8" w:color="0000FF"/>
            </w:tcBorders>
            <w:gridSpan w:val="13"/>
          </w:tcPr>
          <w:p>
            <w:pPr>
              <w:spacing w:after="0"/>
              <w:rPr>
                <w:sz w:val="19"/>
                <w:szCs w:val="19"/>
                <w:color w:val="auto"/>
              </w:rPr>
            </w:pPr>
          </w:p>
        </w:tc>
        <w:tc>
          <w:tcPr>
            <w:tcW w:w="2520" w:type="dxa"/>
            <w:vAlign w:val="bottom"/>
            <w:gridSpan w:val="3"/>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20" w:type="dxa"/>
            <w:vAlign w:val="bottom"/>
            <w:tcBorders>
              <w:bottom w:val="single" w:sz="8" w:color="0000EE"/>
            </w:tcBorders>
          </w:tcPr>
          <w:p>
            <w:pPr>
              <w:spacing w:after="0"/>
              <w:rPr>
                <w:sz w:val="19"/>
                <w:szCs w:val="19"/>
                <w:color w:val="auto"/>
              </w:rPr>
            </w:pPr>
          </w:p>
        </w:tc>
        <w:tc>
          <w:tcPr>
            <w:tcW w:w="7760" w:type="dxa"/>
            <w:vAlign w:val="bottom"/>
            <w:gridSpan w:val="20"/>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9C.</w:t>
            </w:r>
          </w:p>
        </w:tc>
        <w:tc>
          <w:tcPr>
            <w:tcW w:w="9100" w:type="dxa"/>
            <w:vAlign w:val="bottom"/>
            <w:gridSpan w:val="26"/>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64"/>
        </w:trPr>
        <w:tc>
          <w:tcPr>
            <w:tcW w:w="12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2"/>
        </w:trPr>
        <w:tc>
          <w:tcPr>
            <w:tcW w:w="1200" w:type="dxa"/>
            <w:vAlign w:val="bottom"/>
          </w:tcPr>
          <w:p>
            <w:pPr>
              <w:spacing w:after="0" w:line="202"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8"/>
          </w:tcPr>
          <w:p>
            <w:pPr>
              <w:spacing w:after="0" w:line="202" w:lineRule="exact"/>
              <w:rPr>
                <w:sz w:val="20"/>
                <w:szCs w:val="20"/>
                <w:color w:val="auto"/>
              </w:rPr>
            </w:pPr>
            <w:r>
              <w:rPr>
                <w:rFonts w:ascii="Arial" w:cs="Arial" w:eastAsia="Arial" w:hAnsi="Arial"/>
                <w:sz w:val="18"/>
                <w:szCs w:val="18"/>
                <w:color w:val="0000FF"/>
                <w:w w:val="90"/>
              </w:rPr>
              <w:t>Directors, Executive Officers and Corporate Governance</w:t>
            </w:r>
          </w:p>
        </w:tc>
        <w:tc>
          <w:tcPr>
            <w:tcW w:w="5000" w:type="dxa"/>
            <w:vAlign w:val="bottom"/>
            <w:gridSpan w:val="8"/>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11.</w:t>
            </w:r>
          </w:p>
        </w:tc>
        <w:tc>
          <w:tcPr>
            <w:tcW w:w="9100" w:type="dxa"/>
            <w:vAlign w:val="bottom"/>
            <w:gridSpan w:val="26"/>
          </w:tcPr>
          <w:p>
            <w:pPr>
              <w:spacing w:after="0"/>
              <w:rPr>
                <w:sz w:val="20"/>
                <w:szCs w:val="20"/>
                <w:color w:val="auto"/>
              </w:rPr>
            </w:pPr>
            <w:r>
              <w:rPr>
                <w:rFonts w:ascii="Arial" w:cs="Arial" w:eastAsia="Arial" w:hAnsi="Arial"/>
                <w:sz w:val="18"/>
                <w:szCs w:val="18"/>
                <w:color w:val="0000FF"/>
              </w:rPr>
              <w:t>Executive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12.</w:t>
            </w:r>
          </w:p>
        </w:tc>
        <w:tc>
          <w:tcPr>
            <w:tcW w:w="9100" w:type="dxa"/>
            <w:vAlign w:val="bottom"/>
            <w:gridSpan w:val="26"/>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Stockholders Matters</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1900" w:type="dxa"/>
            <w:vAlign w:val="bottom"/>
            <w:tcBorders>
              <w:top w:val="single" w:sz="8" w:color="0000FF"/>
            </w:tcBorders>
            <w:gridSpan w:val="3"/>
          </w:tcPr>
          <w:p>
            <w:pPr>
              <w:spacing w:after="0"/>
              <w:rPr>
                <w:sz w:val="19"/>
                <w:szCs w:val="19"/>
                <w:color w:val="auto"/>
              </w:rPr>
            </w:pPr>
          </w:p>
        </w:tc>
        <w:tc>
          <w:tcPr>
            <w:tcW w:w="1740" w:type="dxa"/>
            <w:vAlign w:val="bottom"/>
            <w:gridSpan w:val="2"/>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14.</w:t>
            </w:r>
          </w:p>
        </w:tc>
        <w:tc>
          <w:tcPr>
            <w:tcW w:w="9100" w:type="dxa"/>
            <w:vAlign w:val="bottom"/>
            <w:gridSpan w:val="26"/>
          </w:tcPr>
          <w:p>
            <w:pPr>
              <w:spacing w:after="0"/>
              <w:rPr>
                <w:sz w:val="20"/>
                <w:szCs w:val="20"/>
                <w:color w:val="auto"/>
              </w:rPr>
            </w:pPr>
            <w:r>
              <w:rPr>
                <w:rFonts w:ascii="Arial" w:cs="Arial" w:eastAsia="Arial" w:hAnsi="Arial"/>
                <w:sz w:val="18"/>
                <w:szCs w:val="18"/>
                <w:color w:val="0000FF"/>
              </w:rPr>
              <w:t>Principal Accountant Fees and Services</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4"/>
        </w:trPr>
        <w:tc>
          <w:tcPr>
            <w:tcW w:w="12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2"/>
        </w:trPr>
        <w:tc>
          <w:tcPr>
            <w:tcW w:w="1200" w:type="dxa"/>
            <w:vAlign w:val="bottom"/>
          </w:tcPr>
          <w:p>
            <w:pPr>
              <w:spacing w:after="0" w:line="202" w:lineRule="exact"/>
              <w:rPr>
                <w:sz w:val="20"/>
                <w:szCs w:val="20"/>
                <w:color w:val="auto"/>
              </w:rPr>
            </w:pPr>
            <w:r>
              <w:rPr>
                <w:rFonts w:ascii="Arial" w:cs="Arial" w:eastAsia="Arial" w:hAnsi="Arial"/>
                <w:sz w:val="18"/>
                <w:szCs w:val="18"/>
                <w:color w:val="auto"/>
              </w:rPr>
              <w:t>Item 15.</w:t>
            </w:r>
          </w:p>
        </w:tc>
        <w:tc>
          <w:tcPr>
            <w:tcW w:w="9100" w:type="dxa"/>
            <w:vAlign w:val="bottom"/>
            <w:gridSpan w:val="26"/>
          </w:tcPr>
          <w:p>
            <w:pPr>
              <w:spacing w:after="0" w:line="202" w:lineRule="exact"/>
              <w:rPr>
                <w:sz w:val="20"/>
                <w:szCs w:val="20"/>
                <w:color w:val="auto"/>
              </w:rPr>
            </w:pPr>
            <w:r>
              <w:rPr>
                <w:rFonts w:ascii="Arial" w:cs="Arial" w:eastAsia="Arial" w:hAnsi="Arial"/>
                <w:sz w:val="18"/>
                <w:szCs w:val="18"/>
                <w:color w:val="0000FF"/>
              </w:rPr>
              <w:t>Exhibits and Financial Statement Schedules</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2"/>
              </w:rPr>
              <w:t>Form 10-K Summary</w:t>
            </w:r>
          </w:p>
        </w:tc>
        <w:tc>
          <w:tcPr>
            <w:tcW w:w="1600" w:type="dxa"/>
            <w:vAlign w:val="bottom"/>
            <w:tcBorders>
              <w:top w:val="single" w:sz="8" w:color="0000FF"/>
            </w:tcBorders>
            <w:gridSpan w:val="6"/>
          </w:tcPr>
          <w:p>
            <w:pPr>
              <w:spacing w:after="0"/>
              <w:rPr>
                <w:sz w:val="19"/>
                <w:szCs w:val="19"/>
                <w:color w:val="auto"/>
              </w:rPr>
            </w:pPr>
          </w:p>
        </w:tc>
        <w:tc>
          <w:tcPr>
            <w:tcW w:w="5940" w:type="dxa"/>
            <w:vAlign w:val="bottom"/>
            <w:gridSpan w:val="12"/>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1200" w:type="dxa"/>
            <w:vAlign w:val="bottom"/>
          </w:tcPr>
          <w:p>
            <w:pPr>
              <w:spacing w:after="0"/>
              <w:rPr>
                <w:sz w:val="19"/>
                <w:szCs w:val="19"/>
                <w:color w:val="auto"/>
              </w:rPr>
            </w:pPr>
          </w:p>
        </w:tc>
        <w:tc>
          <w:tcPr>
            <w:tcW w:w="9100" w:type="dxa"/>
            <w:vAlign w:val="bottom"/>
            <w:gridSpan w:val="26"/>
          </w:tcPr>
          <w:p>
            <w:pPr>
              <w:spacing w:after="0"/>
              <w:rPr>
                <w:sz w:val="20"/>
                <w:szCs w:val="20"/>
                <w:color w:val="auto"/>
              </w:rPr>
            </w:pPr>
            <w:r>
              <w:rPr>
                <w:rFonts w:ascii="Arial" w:cs="Arial" w:eastAsia="Arial" w:hAnsi="Arial"/>
                <w:sz w:val="18"/>
                <w:szCs w:val="18"/>
                <w:color w:val="0000FF"/>
              </w:rPr>
              <w:t>Signatures</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12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This Annual Report on Form 10-K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titled “Risk Factors” and elsewhere in this Annual Report on Form 10-K. Forward-looking statements include, but are not limited to, statements about:</w:t>
      </w:r>
    </w:p>
    <w:p>
      <w:pPr>
        <w:spacing w:after="0" w:line="84"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17"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durability, efficacy and safety of our product candidates;</w:t>
      </w:r>
    </w:p>
    <w:p>
      <w:pPr>
        <w:spacing w:after="0" w:line="117"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portfolio of clinical trials planned for submission in our Biologics License Application, or BLA, of tarcocimab tedromer (formerly KSI-301, also known as tarcocimab);</w:t>
      </w:r>
    </w:p>
    <w:p>
      <w:pPr>
        <w:spacing w:after="0" w:line="62" w:lineRule="exact"/>
        <w:rPr>
          <w:rFonts w:ascii="Arial" w:cs="Arial" w:eastAsia="Arial" w:hAnsi="Arial"/>
          <w:sz w:val="18"/>
          <w:szCs w:val="18"/>
          <w:color w:val="auto"/>
        </w:rPr>
      </w:pPr>
    </w:p>
    <w:p>
      <w:pPr>
        <w:ind w:left="760" w:right="2300" w:hanging="378"/>
        <w:spacing w:after="0" w:line="30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progress, results and costs of developing tarcocimab, KSI-501 or any other product candidates we may develop, and conducting preclinical studies and clinical trials, including for tarcocimab and KSI-501;</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present clinical data across our pivotal trials during 2023;</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Lonza’s ability to successfully execute on our manufacturing development plan;</w:t>
      </w:r>
    </w:p>
    <w:p>
      <w:pPr>
        <w:spacing w:after="0" w:line="117" w:lineRule="exact"/>
        <w:rPr>
          <w:rFonts w:ascii="Arial" w:cs="Arial" w:eastAsia="Arial" w:hAnsi="Arial"/>
          <w:sz w:val="18"/>
          <w:szCs w:val="18"/>
          <w:color w:val="auto"/>
        </w:rPr>
      </w:pPr>
    </w:p>
    <w:p>
      <w:pPr>
        <w:ind w:left="760" w:hanging="378"/>
        <w:spacing w:after="0" w:line="26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BLA in wet age-related macular degeneration, or wet AMD, diabetic macular edema, or DME, retinal vein occlusion, or RVO, and diabetic retinopathy, or DR;</w:t>
      </w:r>
    </w:p>
    <w:p>
      <w:pPr>
        <w:spacing w:after="0" w:line="75"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chemistry manufacturing and controls, or CMC, requirements of the United States Food and Drug Administration, or FDA, and other regulatory bodies to support our BLA submission and potential commercial launch;</w:t>
      </w:r>
    </w:p>
    <w:p>
      <w:pPr>
        <w:spacing w:after="0" w:line="62" w:lineRule="exact"/>
        <w:rPr>
          <w:rFonts w:ascii="Arial" w:cs="Arial" w:eastAsia="Arial" w:hAnsi="Arial"/>
          <w:sz w:val="18"/>
          <w:szCs w:val="18"/>
          <w:color w:val="auto"/>
        </w:rPr>
      </w:pPr>
    </w:p>
    <w:p>
      <w:pPr>
        <w:ind w:left="760" w:right="12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FDA approval of tarcocimab in wet AMD, DME, RVO, DR and/or of KSI-501;</w:t>
      </w:r>
    </w:p>
    <w:p>
      <w:pPr>
        <w:spacing w:after="0" w:line="62"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760" w:right="24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760" w:right="38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impact of the unfavorable U.S. and global economic conditions on our business and operations, the business and operations of our collaborators, and on the global economy;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aspirational goals and objectives related to our human capital resources and workforce objectives;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760" w:right="5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Part I, Item 1A “Risk Factors” of this Annual Report on Form 10-K.</w:t>
      </w:r>
    </w:p>
    <w:p>
      <w:pPr>
        <w:spacing w:after="0" w:line="5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80"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i w:val="1"/>
          <w:iCs w:val="1"/>
          <w:color w:val="auto"/>
        </w:rPr>
        <w:t>All brand names or trademarks appearing in this Annual Report on Form 10-K are the property of their respective holders. Unless the context requires otherwise, references in this Annual Report on Form 10-K to “Kodiak” the “Company,” “we,” “us,” and “our” refer to Kodiak Sciences Inc. and its subsidiaries.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 w:name="page5"/>
    <w:bookmarkEnd w:id="4"/>
    <w:p>
      <w:pPr>
        <w:jc w:val="center"/>
        <w:ind w:left="50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right="80" w:firstLine="515"/>
        <w:spacing w:after="0" w:line="263" w:lineRule="auto"/>
        <w:rPr>
          <w:sz w:val="20"/>
          <w:szCs w:val="20"/>
          <w:color w:val="auto"/>
        </w:rPr>
      </w:pPr>
      <w:r>
        <w:rPr>
          <w:rFonts w:ascii="Arial" w:cs="Arial" w:eastAsia="Arial" w:hAnsi="Arial"/>
          <w:sz w:val="18"/>
          <w:szCs w:val="18"/>
          <w:color w:val="auto"/>
        </w:rPr>
        <w:t>Investing in our common stock involves numerous risks, including the risks described in “Risk Factors” in Part I, Item 1A of this Annual Report on Form 10-K, any one of which could materially adversely affect our business, financial condition, results of operations, and prospects. These risks include, among others, the following:</w:t>
      </w:r>
    </w:p>
    <w:p>
      <w:pPr>
        <w:spacing w:after="0" w:line="76" w:lineRule="exact"/>
        <w:rPr>
          <w:sz w:val="20"/>
          <w:szCs w:val="20"/>
          <w:color w:val="auto"/>
        </w:rPr>
      </w:pPr>
    </w:p>
    <w:p>
      <w:pPr>
        <w:ind w:left="760" w:right="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in each period since our inception and anticipate that we will continue to incur significant and increasing net losses for the foreseeable future.</w:t>
      </w:r>
    </w:p>
    <w:p>
      <w:pPr>
        <w:spacing w:after="0" w:line="62" w:lineRule="exact"/>
        <w:rPr>
          <w:rFonts w:ascii="Arial" w:cs="Arial" w:eastAsia="Arial" w:hAnsi="Arial"/>
          <w:sz w:val="18"/>
          <w:szCs w:val="18"/>
          <w:color w:val="auto"/>
        </w:rPr>
      </w:pPr>
    </w:p>
    <w:p>
      <w:pPr>
        <w:ind w:left="760" w:right="5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prospects are heavily dependent on our tarcocimab product candidate, which is currently in clinical development for multiple indications.</w:t>
      </w:r>
    </w:p>
    <w:p>
      <w:pPr>
        <w:spacing w:after="0" w:line="140" w:lineRule="exact"/>
        <w:rPr>
          <w:rFonts w:ascii="Arial" w:cs="Arial" w:eastAsia="Arial" w:hAnsi="Arial"/>
          <w:sz w:val="16"/>
          <w:szCs w:val="16"/>
          <w:color w:val="auto"/>
        </w:rPr>
      </w:pPr>
    </w:p>
    <w:p>
      <w:pPr>
        <w:ind w:left="760" w:right="5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failure of tarcocimab in clinical development may require us to discontinue development of other product candidates based on our ABC Platform.</w:t>
      </w:r>
    </w:p>
    <w:p>
      <w:pPr>
        <w:spacing w:after="0" w:line="62"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62"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not be able to conduct or complete our clinical trials on the timelines we expect, if at all.</w:t>
      </w:r>
    </w:p>
    <w:p>
      <w:pPr>
        <w:spacing w:after="0" w:line="62" w:lineRule="exact"/>
        <w:rPr>
          <w:rFonts w:ascii="Arial" w:cs="Arial" w:eastAsia="Arial" w:hAnsi="Arial"/>
          <w:sz w:val="18"/>
          <w:szCs w:val="18"/>
          <w:color w:val="auto"/>
        </w:rPr>
      </w:pPr>
    </w:p>
    <w:p>
      <w:pPr>
        <w:ind w:left="760" w:right="6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difficulties enrolling patients in our clinical trials, and our clinical development activities could thereby be delayed or otherwise adversely affected.</w:t>
      </w:r>
    </w:p>
    <w:p>
      <w:pPr>
        <w:spacing w:after="0" w:line="62"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topline results from our Phase 2b/3 pivotal study of tarcocimab in wet AMD and from our Phase 3 pivotal study BEACON in RVO may lead to further study design modifications in our other ongoing pivotal studies and may impact the timeline of completion and likelihood of success of these pivotal studies.</w:t>
      </w:r>
    </w:p>
    <w:p>
      <w:pPr>
        <w:spacing w:after="0" w:line="75" w:lineRule="exact"/>
        <w:rPr>
          <w:rFonts w:ascii="Arial" w:cs="Arial" w:eastAsia="Arial" w:hAnsi="Arial"/>
          <w:sz w:val="18"/>
          <w:szCs w:val="18"/>
          <w:color w:val="auto"/>
        </w:rPr>
      </w:pPr>
    </w:p>
    <w:p>
      <w:pPr>
        <w:ind w:left="760" w:right="120" w:hanging="378"/>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8"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of our product candidates is highly complex and requires substantial lead time to produce.</w:t>
      </w:r>
    </w:p>
    <w:p>
      <w:pPr>
        <w:spacing w:after="0" w:line="117" w:lineRule="exact"/>
        <w:rPr>
          <w:rFonts w:ascii="Arial" w:cs="Arial" w:eastAsia="Arial" w:hAnsi="Arial"/>
          <w:sz w:val="18"/>
          <w:szCs w:val="18"/>
          <w:color w:val="auto"/>
        </w:rPr>
      </w:pPr>
    </w:p>
    <w:p>
      <w:pPr>
        <w:ind w:left="760" w:right="120" w:hanging="378"/>
        <w:spacing w:after="0" w:line="25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provide the information needed in the regulatory dossiers for our planned BLA filing, or our ability to supply our products for patients, if approved, could be delayed or stopped, or we may be unable to establish a commercially viable cost structure.</w:t>
      </w:r>
    </w:p>
    <w:p>
      <w:pPr>
        <w:spacing w:after="0" w:line="79" w:lineRule="exact"/>
        <w:rPr>
          <w:rFonts w:ascii="Arial" w:cs="Arial" w:eastAsia="Arial" w:hAnsi="Arial"/>
          <w:sz w:val="18"/>
          <w:szCs w:val="18"/>
          <w:color w:val="auto"/>
        </w:rPr>
      </w:pPr>
    </w:p>
    <w:p>
      <w:pPr>
        <w:ind w:left="760" w:right="8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5"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conducting clinical trials for our product candidates outside the United States, and the FDA, EMA and applicable foreign regulatory authorities may not accept data from such trials.</w:t>
      </w:r>
    </w:p>
    <w:p>
      <w:pPr>
        <w:spacing w:after="0" w:line="62" w:lineRule="exact"/>
        <w:rPr>
          <w:rFonts w:ascii="Arial" w:cs="Arial" w:eastAsia="Arial" w:hAnsi="Arial"/>
          <w:sz w:val="18"/>
          <w:szCs w:val="18"/>
          <w:color w:val="auto"/>
        </w:rPr>
      </w:pPr>
    </w:p>
    <w:p>
      <w:pPr>
        <w:ind w:left="760" w:right="24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 w:name="page6"/>
    <w:bookmarkEnd w:id="5"/>
    <w:p>
      <w:pPr>
        <w:ind w:left="380" w:right="360" w:hanging="378"/>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5" w:lineRule="exact"/>
        <w:rPr>
          <w:rFonts w:ascii="Arial" w:cs="Arial" w:eastAsia="Arial" w:hAnsi="Arial"/>
          <w:sz w:val="16"/>
          <w:szCs w:val="16"/>
          <w:color w:val="auto"/>
        </w:rPr>
      </w:pPr>
    </w:p>
    <w:p>
      <w:pPr>
        <w:ind w:left="380" w:right="360" w:hanging="378"/>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15" w:lineRule="exact"/>
        <w:rPr>
          <w:rFonts w:ascii="Arial" w:cs="Arial" w:eastAsia="Arial" w:hAnsi="Arial"/>
          <w:sz w:val="16"/>
          <w:szCs w:val="16"/>
          <w:color w:val="auto"/>
        </w:rPr>
      </w:pPr>
    </w:p>
    <w:p>
      <w:pPr>
        <w:ind w:left="380" w:right="20" w:hanging="378"/>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5" w:lineRule="exact"/>
        <w:rPr>
          <w:rFonts w:ascii="Arial" w:cs="Arial" w:eastAsia="Arial" w:hAnsi="Arial"/>
          <w:sz w:val="18"/>
          <w:szCs w:val="18"/>
          <w:color w:val="auto"/>
        </w:rPr>
      </w:pPr>
    </w:p>
    <w:p>
      <w:pPr>
        <w:ind w:left="380" w:right="400" w:hanging="378"/>
        <w:spacing w:after="0" w:line="30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rFonts w:ascii="Arial" w:cs="Arial" w:eastAsia="Arial" w:hAnsi="Arial"/>
          <w:sz w:val="17"/>
          <w:szCs w:val="17"/>
          <w:color w:val="auto"/>
        </w:rPr>
      </w:pPr>
    </w:p>
    <w:p>
      <w:pPr>
        <w:ind w:left="380" w:hanging="37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rFonts w:ascii="Arial" w:cs="Arial" w:eastAsia="Arial" w:hAnsi="Arial"/>
          <w:sz w:val="18"/>
          <w:szCs w:val="18"/>
          <w:color w:val="auto"/>
        </w:rPr>
      </w:pPr>
    </w:p>
    <w:p>
      <w:pPr>
        <w:ind w:left="380" w:right="340" w:hanging="37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and other intellectual property rights, which could be expensive, time consuming and unsuccessful.</w:t>
      </w:r>
    </w:p>
    <w:p>
      <w:pPr>
        <w:spacing w:after="0" w:line="62" w:lineRule="exact"/>
        <w:rPr>
          <w:rFonts w:ascii="Arial" w:cs="Arial" w:eastAsia="Arial" w:hAnsi="Arial"/>
          <w:sz w:val="18"/>
          <w:szCs w:val="18"/>
          <w:color w:val="auto"/>
        </w:rPr>
      </w:pPr>
    </w:p>
    <w:p>
      <w:pPr>
        <w:ind w:left="380" w:hanging="37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U.S. and global economic conditions could adversely affect our business, financial condition or results of operations.</w:t>
      </w:r>
    </w:p>
    <w:p>
      <w:pPr>
        <w:spacing w:after="0" w:line="117" w:lineRule="exact"/>
        <w:rPr>
          <w:rFonts w:ascii="Arial" w:cs="Arial" w:eastAsia="Arial" w:hAnsi="Arial"/>
          <w:sz w:val="18"/>
          <w:szCs w:val="18"/>
          <w:color w:val="auto"/>
        </w:rPr>
      </w:pPr>
    </w:p>
    <w:p>
      <w:pPr>
        <w:jc w:val="both"/>
        <w:ind w:left="380" w:right="140" w:hanging="378"/>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business could be materially and adversely affected in the future by the effects of disease outbreaks, epidemics and pandemics, such as the COVID-19 pandemic, as well as the business or operations of our manufacturers, CROs or other third parties with whom we conduct business.</w:t>
      </w:r>
    </w:p>
    <w:p>
      <w:pPr>
        <w:spacing w:after="0" w:line="12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449" w:right="3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Since its founding in 2009, Kodiak Sciences Inc. (“Kodiak,” the “Company,” “we” or “our”) has developed a new technology platform for retinal medicines. Our goal is to prevent and treat the major causes of blindness by developing and commercializing next-generation therapeutics for chronic, high-prevalence retinal diseases.</w:t>
      </w:r>
    </w:p>
    <w:p>
      <w:pPr>
        <w:spacing w:after="0" w:line="76"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Kodiak’s lead product candidate, tarcocimab tedromer (“KSI-301” or “tarcocimab”), has been advanced into six registrational clinical studies, four of which are actively ongoing. The comprehensive clinical program targets high prevalence retinal diseases that are treated with anti-vascular endothelial growth factor (“anti-VEGF”) therapies. Our clinical program is designed as a package to support a broad product label, which we hope will include the key diseases and the longest dosing intervals among anti-VEGF therapies. Tarcocimab is being developed to become a differentiated, long-interval therapy for use in many patients who may benefit from anti-VEGF therapy. At the same time, Kodiak is investing in commercial scale manufacturing. We aim to provide a pre-filled syringe early in commercialization and are working actively towards this goal. We believe these combined clinical and manufacturing efforts set the stage for potential market share capture with tarcocimab if approved.</w:t>
      </w:r>
    </w:p>
    <w:p>
      <w:pPr>
        <w:spacing w:after="0" w:line="7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In addition, Kodiak is investing in its pipeline. The Company is progressing its Antibody Biopolymer Conjugate (“ABC”) Platform</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towards suboptimal anti-VEGF responder patients, a group estimated to be as large as 30 – 66% of treated patients, with its bispecific conjugate KSI-501. Beyond today’s anti-VEGF market, Kodiak’s new triplet medicines are being designed on its ABC Platform in an effort to bring new capabilities to treat the even higher prevalence retinal diseases of dry age-related macular degeneration (“AMD”) and glaucoma.</w:t>
      </w:r>
    </w:p>
    <w:p>
      <w:pPr>
        <w:spacing w:after="0" w:line="84"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Notably, up to this point, Kodiak has retained all global rights to make, use and sell its product candidates, which we believe preserves future value and allows for agile decision-making.</w:t>
      </w:r>
    </w:p>
    <w:p>
      <w:pPr>
        <w:spacing w:after="0" w:line="62" w:lineRule="exact"/>
        <w:rPr>
          <w:sz w:val="20"/>
          <w:szCs w:val="20"/>
          <w:color w:val="auto"/>
        </w:rPr>
      </w:pPr>
    </w:p>
    <w:p>
      <w:pPr>
        <w:ind w:right="340" w:firstLine="509"/>
        <w:spacing w:after="0" w:line="308" w:lineRule="auto"/>
        <w:rPr>
          <w:sz w:val="20"/>
          <w:szCs w:val="20"/>
          <w:color w:val="auto"/>
        </w:rPr>
      </w:pPr>
      <w:r>
        <w:rPr>
          <w:rFonts w:ascii="Arial" w:cs="Arial" w:eastAsia="Arial" w:hAnsi="Arial"/>
          <w:sz w:val="17"/>
          <w:szCs w:val="17"/>
          <w:color w:val="auto"/>
        </w:rPr>
        <w:t>While engaged in these research and development efforts, we believe we have demonstrated a disciplined and creative approach to building and financing the Company. As of December 31, 2022, we had $478.9 million in cash, cash equivalents and marketable securities.</w:t>
      </w:r>
    </w:p>
    <w:p>
      <w:pPr>
        <w:spacing w:after="0" w:line="3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Our objective is to develop our retina-focused product candidates, seek FDA and worldwide health authority marketing authorization approvals, and ultimately commercialize our product candidates.</w:t>
      </w:r>
    </w:p>
    <w:p>
      <w:pPr>
        <w:spacing w:after="0" w:line="62"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Following from these efforts, we believe Kodiak has the potential to achieve our ambition of becoming an important retinal development and commercialization franchise.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Tarcocimab Clinical Program Update</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continue advancing the pivotal clinical program of our lead product candidate tarcocimab across major retinal vascular diseases including wet age-related macular degeneration (“wet AMD”), diabetic macular edema (“DME”), retinal vein occlusion (“RVO”) and non-proliferative diabetic retinopathy (“NPDR”) without DME. We reported topline results from two of our six pivotal clinical studies in 2022, the Phase 2b/3 DAZZLE study in wet AMD and the Phase 3 BEACON study in RVO.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DAZZLE – Phase 2b/3 Study in Patients with Treatment-Naïve Wet AMD</w:t>
      </w:r>
    </w:p>
    <w:p>
      <w:pPr>
        <w:spacing w:after="0" w:line="117"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Our initial Phase 2b/3 pivotal study was a global, multi-center, randomized pivotal study designed to evaluate the durability, efficacy and safety of tarcocimab in patients with treatment-naïve wet AMD. We announced in February 2022 that this initial pivotal study did not meet its primary efficacy endpoint of non-inferior visual acuity gains for subjects dosed on extended regimens every 12-, 16- or 20 weeks with tarcocimab compared to subjects given aflibercept every 8 weeks. Following this announcement, we discontinued the study and concluded remaining trial-associated activities.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BEACON – Phase 3 Study in Patients with Treatment- Naïve Retinal Vein Occlusion</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BEACON study was a randomized, double-masked, multicenter, active comparator-controlled Phase 3 clinical trial in treatment naïve patients with vision loss and macular edema due to retinal vein occlusion, including both branch ("BRVO") and central ("CRVO") subtypes. We announced in August 2022 that the BEACON study met the primary efficacy endpoint of non-inferior visual acuity change from baseline at week 24 for subjects given tarcocimab every two months after 2 monthly loading doses compared to subjects given monthly aflibercept. We intend to include the primary results of the BEACON study in potential licensing applications for tarcocimab to serve as the basis for potential approval of tarcocimab in RVO.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right="280" w:firstLine="509"/>
        <w:spacing w:after="0" w:line="263" w:lineRule="auto"/>
        <w:rPr>
          <w:sz w:val="20"/>
          <w:szCs w:val="20"/>
          <w:color w:val="auto"/>
        </w:rPr>
      </w:pPr>
      <w:r>
        <w:rPr>
          <w:rFonts w:ascii="Arial" w:cs="Arial" w:eastAsia="Arial" w:hAnsi="Arial"/>
          <w:sz w:val="18"/>
          <w:szCs w:val="18"/>
          <w:color w:val="auto"/>
        </w:rPr>
        <w:t>Looking across the development program for tarcocimab, we have four Phase 3 studies ongoing, namely our paired long-interval Phase 3 studies GLEAM and GLIMMER in DME, short-interval Phase 3 study DAYLIGHT in wet AMD and Phase 3 study GLOW in NPDR without DME. All the studies are fully enrolled and expected to read out topline data in the third quarter of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GLEAM / GLIMMER – Paired Phase 3 Studies in Patients with Treatment-Naïve Diabetic Macular Edema</w:t>
      </w:r>
    </w:p>
    <w:p>
      <w:pPr>
        <w:spacing w:after="0" w:line="117"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The Phase 3 GLEAM and GLIMMER studies are global, multi-center, randomized pivotal studies designed to evaluate the durability, efficacy and safety of tarcocimab in patients with treatment-naïve DME. In each study, patients are randomized 1:1 to receive either tarcocimab or aflibercept. The tarcocimab arm is treated with a proactive, individualized dosing regimen of every 8-, 12-, 16-, 20- or 24 weeks after three monthly loading doses. The aflibercept arm is treated with a fixed dosing regimen of every 8-weeks after five monthly loading doses, per its label. Both studies completed enrollment of approximately 450 patients each worldwide in the first quarter of 2022. The primary endpoint for both studies is at year one. We expect to announce topline data from these studies in the third quarter of 2023 (expected July). If successful, we expect that data from our GLEAM and GLIMMER studies will serve as the primary basis for regulatory approval of tarcocimab.</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GLOW – Phase 3 Study in Patients with Non-Proliferative Diabetic Retinopathy without DME</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Phase 3 GLOW study is a global, multi-center, randomized pivotal superiority study designed to evaluate the efficacy and safety of tarcocimab in treatment-naïve, moderately severe to severe NPDR without DME. Patients are randomized to receive either tarcocimab every six months after initiating doses given at baseline, 8 weeks and 20 weeks into the study, or to receive sham injections. The primary endpoint is at one year. Outcomes include changes in diabetic retinopathy severity, measured on a standardized photographic grading scale, and the rate of development of sight-threatening complications due to diabetic retinopathy. We believe tarcocimab has the potential to be the longest-interval intravitreal therapeutic option for patients with diabetic retinopathy. GLOW completed enrollment of approximately 240 patients in August 2022, and we expect to announce topline data from this study in the third quarter of 2023.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DAYLIGHT – Phase 3 Study in Patients with Treatment-Naïve Wet AMD</w:t>
      </w:r>
    </w:p>
    <w:p>
      <w:pPr>
        <w:spacing w:after="0" w:line="117"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color w:val="auto"/>
        </w:rPr>
        <w:t>The Phase 3 DAYLIGHT study is a global, multi-center, randomized pivotal study designed to evaluate the efficacy and safety of high-frequency tarcocimab in patients with treatment-naïve wet AMD. Patients are randomized to receive either tarcocimab on a monthly dosing regimen or to receive standard-of-care aflibercept on a fixed dosing regimen of every 8-weeks after three monthly loading doses per its label. The primary endpoint is at year one. The DAYLIGHT study is intended to demonstrate the efficacy of tarcocimab to treat high need patients with wet AMD. DAYLIGHT has completed enrollment of approximately 550 patients worldwide, and we expect to announce topline data from this study in the third quarter of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Tarcocimab Manufacturing</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August 2020, we and our wholly-owned subsidiary Kodiak Sciences GmbH entered into a manufacturing agreement with Lonza Ltd (“Lonza”) for the clinical and commercial supply of drug substance for tarcocimab. The manufacturing agreement has an initial term of eight years, and Kodiak has the right to extend the term up to a total of 16 years. Kodiak and Lonza each has the ability to terminate this agreement upon the occurrence of certain conditions. Under the agreement, Kodiak and Lonza planned a custom-built facility (“Ursus”) dedicated to the commercial-scale manufacturing of Kodiak’s drug substance. In March 2022, the Ursus facility achieved mechanical completion. In May 2022, we announced the grand opening of this facility together with Lonza. The facility was commissioned as a cGMP facility in January 2023, and we began the manufacturing of commercial-scale cGMP batches in the first quarter of 2023.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KSI-501 Program Update</w:t>
      </w:r>
    </w:p>
    <w:p>
      <w:pPr>
        <w:spacing w:after="0" w:line="117"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In 2022, we broadened our development pipeline of product candidates built on our ABC Platform with the filing of the Investigational New Drug (IND) application for KSI-501. KSI-501 is an investigational, first-in-class bispecific ABC that is designed to inhibit two mechanisms implicated in retinal diseases: vascular endothelial growth factor (VEGF) and interleukin-6 (IL-6). IL-6 is a pro-inflammatory cytokine and growth factor implicated in the pathophysiology of multiple retinal diseases and, in conditions for which anti-VEGF treatment is used, elevated levels of ocular IL-6 have been associated with poor anti-VEGF treatment response. KSI-501 is a trap-antibody fusion biopolymer conjugate designed to provide potent inhibition of (i) VEGF-mediated angiogenesis and vascular permeability through a soluble decoy receptor inhibiting the binding of VEGF-A and PLGF to their cognate receptors and (ii) IL-6 mediated inflammation through an antibody that binds soluble interleukin-6, inhibiting its binding to both soluble and membrane-bound IL-6 receptors. In preclinical studies KSI-501 was found to inhibit angiogenesis and also normalize inner and outer blood retinal barriers in primary-cell assays. Dual inhibition of VEGF and IL-6 by KSI-501 confers superior normalization of cell morphology and junctional biology compared to either anti-VEGF or anti-IL-6 monotherapy in cell-based assays. We believe KSI-501 has the potential to become a new category of retinal medicines with greater therapeutic efficacy than existing therapies while also benefiting from the promising long-interval durability of Kodiak’s ABC Platform. The IND for KSI-501 has been cleared by the FDA, and the Phase 1 study in diabetic macular edema (DME) patients is now screening patients.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Platform Development</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We continued progressing our technology development with our “triplet” platform. The triplet science is designed to bring our phosphorylcholine-based biopolymer, the central tenet of our ABC Platform, together with many hundreds of copies of small molecules chemically embedded in that biopolymer, which is conjugated to an antibody therapeutic. We believe this new antibody conjugate drug format offers broad and important utility for multifactorial ophthalmic diseases and also has significant relevance for systemic diseases. We continue to advance our triplet platform towards its initial therapeutic concepts.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Health Platform Development</w:t>
      </w:r>
    </w:p>
    <w:p>
      <w:pPr>
        <w:spacing w:after="0" w:line="117"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We are developing a visual engagement technology and imager (“VETi”) designed by Kodiak engineers initially to be used by eye care professionals for vision and ophthalmic anatomical examination, diagnosis and monitoring. Our longer-term goal with VETi, built with semiconductor technologies, is to deliver a wearable device for long-term health engagement and monitoring.</w:t>
      </w:r>
    </w:p>
    <w:p>
      <w:pPr>
        <w:spacing w:after="0" w:line="76"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Importantly, we also believe the Kodiak VETi platform as a medical engagement and imaging platform has the potential to disrupt ophthalmology clinical trials by enabling new trial endpoints, thereby enabling faster and more cost-effective medicines development in ophthalmic disease, an area that historically requires lengthy and expensive trials. VETi may also aid in market build and shaping for undertreated or underdiagnosed diseases, such as diabetic eye diseases where Kodiak’s product candidates tarcocimab and KSI-501 are being studied and where early treatment and prevention may allow patients to achieve better outcomes.</w:t>
      </w:r>
    </w:p>
    <w:p>
      <w:pPr>
        <w:spacing w:after="0" w:line="8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VETi platform is expected to begin pilot clinical testing mid-2023 to gather initial user input for continued innovation in the design and build of this new hardware and software platform</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The current standard of care for wet AMD, advanced stages of DR (including DME) and RVO is intravitreal administration of anti-VEGF monotherapies, principally Avastin, Lucentis and Eylea, which are well-established therapies and are widely accepted by physicians, patients and third-party payors.</w:t>
      </w:r>
    </w:p>
    <w:p>
      <w:pPr>
        <w:spacing w:after="0" w:line="76"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In addition, newer competitors have recently received FDA approval, such as Vabysmo (faricimab) from Roche. Vabysmo is a bispecific antibody targeting VEGF and angiopoietin-2 (Ang-2) and received FDA approval for the treatment of wet AMD and DME in January 2022. Vabysmo demonstrated non-inferiority in visual acuity gains to Eylea in wet AMD and DME, with extended dosing of up to once every 16 weeks for slightly less than half of patients in Phase 3 trials. Vabysmo also demonstrated non-inferiority in visual acuity gains to Eylea in Phase 3 studies in RVO with monthly dosing regimen for both therapies. We believe Vabysmo may be perceived to offer incremental benefit in durability over currently established therapies such as Lucentis and Eylea and may become an important product in the marketplace.</w:t>
      </w:r>
    </w:p>
    <w:p>
      <w:pPr>
        <w:spacing w:after="0" w:line="70"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Regeneron recently reported positive topline results from its Phase 3 studies of a higher dose formulation of aflibercept that met its non-inferiority endpoint in pivotal studies in wet AMD and DME while dosing a majority of patients on an every 3 or 4 month interval. If approved, we believe high dose aflibercept may become an important therapy in the marketplace given Regeneron’s incumbent position in retinal diseases.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 w:name="page10"/>
    <w:bookmarkEnd w:id="9"/>
    <w:p>
      <w:pPr>
        <w:ind w:right="300" w:firstLine="509"/>
        <w:spacing w:after="0" w:line="263" w:lineRule="auto"/>
        <w:rPr>
          <w:sz w:val="20"/>
          <w:szCs w:val="20"/>
          <w:color w:val="auto"/>
        </w:rPr>
      </w:pPr>
      <w:r>
        <w:rPr>
          <w:rFonts w:ascii="Arial" w:cs="Arial" w:eastAsia="Arial" w:hAnsi="Arial"/>
          <w:sz w:val="18"/>
          <w:szCs w:val="18"/>
          <w:color w:val="auto"/>
        </w:rPr>
        <w:t>There are also other companies and research organizations developing treatments targeting other molecular targets, potential gene therapy treatments, stem cell transplant treatments and medical devices for the treatment of wet AMD, DME, DR and RVO. We believe the therapeutic space of retinal diseases will become increasingly competitive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Agreement</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On December 1, 2019, we, and our subsidiary, Kodiak Sciences GmbH, entered into a funding agreement to sell a capped royalty right on global net sales of tarcocimab to Baker Bros. Advisors, LP (“BBA”) for $225.0 million. Under the funding agreement, BBA purchased the right to receive a capped 4.5% royalty on net sales following marketing approval of tarcocimab in exchange for $225.0 million in committed development funding payable to us. Unless earlier terminated or re-purchased by us, the royalty “caps” or terminates upon the date that BBA has received an aggregate amount equal to 4.5 times the funding amount paid to us. Under the terms of the funding agreement, BBA was required to pay the first $100.0 million of the funding amount at the closing of the funding transaction and the remaining $125.0 million of the funding amount, subject to delivery of notice by the Company, payable upon enrollment of 50% of the patients in the RVO clinical program. In July 2021, the funding agreement was amended, at the Company’s request, that the remaining funding amount of $125.0 million would not be paid.</w:t>
      </w:r>
    </w:p>
    <w:p>
      <w:pPr>
        <w:spacing w:after="0" w:line="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the option, exercisable at any point during the term of the funding agreement, to repurchase from BBA 100% of the royalties due to BBA under the funding agreement for a purchase price equal to the funding amount paid to us as of such time times 4.5, less amounts paid by us to BBA. Under the funding agreement, BBA also received a right to a royalty interest on future net sales following marketing approval of other of our products that employ an anti-VEGF A, or VEGF-A, biology as a sole molecular or chemical biology. In the event we commercialize related products that contain both an anti-VEGF-A biology together with at least one additional molecular or chemical biology(ies), BBA would have the right to receive a fractional royalty of up to 2.25% for one additional molecular or chemical biology or 1.5% for two additional molecular or chemical biologies provided that such other products are being progressed in indications for, or patient populations with, retinal vein occlusion, wet AMD or diabetic macular edema, or indications or patient populations in which KSI-301 or a VEGF-A product has received marketing approval. Total royalty payments under the funding agreement are not to exceed the cap of 4.5 times the funding amount paid to us. The funding agreement was the result of a competitive process overseen by independent and disinterested directors of Kodiak with the assistance of outside counsel.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and biologics under the FDCA, the Public Health Service Act, or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future product candidates must be approved by the FDA through either a new drug application, or NDA, or a biologics license application,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 process before they may be legally marketed in the United States. The process generally involves the following:</w:t>
      </w:r>
    </w:p>
    <w:p>
      <w:pPr>
        <w:spacing w:after="0" w:line="103" w:lineRule="exact"/>
        <w:rPr>
          <w:sz w:val="20"/>
          <w:szCs w:val="20"/>
          <w:color w:val="auto"/>
        </w:rPr>
      </w:pPr>
    </w:p>
    <w:p>
      <w:pPr>
        <w:ind w:left="760" w:right="460" w:hanging="378"/>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clinical trial site before each trial may be initiated;</w:t>
      </w:r>
    </w:p>
    <w:p>
      <w:pPr>
        <w:spacing w:after="0" w:line="140" w:lineRule="exact"/>
        <w:rPr>
          <w:rFonts w:ascii="Arial" w:cs="Arial" w:eastAsia="Arial" w:hAnsi="Arial"/>
          <w:sz w:val="16"/>
          <w:szCs w:val="16"/>
          <w:color w:val="auto"/>
        </w:rPr>
      </w:pPr>
    </w:p>
    <w:p>
      <w:pPr>
        <w:ind w:left="760" w:right="2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NDA or BLA;</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filing for review;</w:t>
      </w:r>
    </w:p>
    <w:p>
      <w:pPr>
        <w:spacing w:after="0" w:line="117" w:lineRule="exact"/>
        <w:rPr>
          <w:rFonts w:ascii="Arial" w:cs="Arial" w:eastAsia="Arial" w:hAnsi="Arial"/>
          <w:sz w:val="18"/>
          <w:szCs w:val="18"/>
          <w:color w:val="auto"/>
        </w:rPr>
      </w:pPr>
    </w:p>
    <w:p>
      <w:pPr>
        <w:ind w:left="760" w:right="8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FDA pre-approval inspection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 or BLA;</w:t>
      </w:r>
    </w:p>
    <w:p>
      <w:pPr>
        <w:spacing w:after="0" w:line="117"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the NDA or BLA, including consideration of the views of any FDA advisory committee, prior to any commercial marketing or sale of the drug or biologic in the United States; and</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62"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80"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right="40" w:firstLine="509"/>
        <w:spacing w:after="0" w:line="279"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40" w:lineRule="exact"/>
        <w:rPr>
          <w:sz w:val="20"/>
          <w:szCs w:val="20"/>
          <w:color w:val="auto"/>
        </w:rPr>
      </w:pPr>
    </w:p>
    <w:p>
      <w:pPr>
        <w:jc w:val="both"/>
        <w:ind w:left="760" w:right="240" w:hanging="378"/>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75" w:lineRule="exact"/>
        <w:rPr>
          <w:rFonts w:ascii="Arial" w:cs="Arial" w:eastAsia="Arial" w:hAnsi="Arial"/>
          <w:sz w:val="18"/>
          <w:szCs w:val="18"/>
          <w:color w:val="auto"/>
        </w:rPr>
      </w:pPr>
    </w:p>
    <w:p>
      <w:pPr>
        <w:ind w:left="760" w:right="120" w:hanging="378"/>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75" w:lineRule="exact"/>
        <w:rPr>
          <w:rFonts w:ascii="Arial" w:cs="Arial" w:eastAsia="Arial" w:hAnsi="Arial"/>
          <w:sz w:val="18"/>
          <w:szCs w:val="18"/>
          <w:color w:val="auto"/>
        </w:rPr>
      </w:pPr>
    </w:p>
    <w:p>
      <w:pPr>
        <w:ind w:left="760" w:hanging="378"/>
        <w:spacing w:after="0" w:line="279"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63"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76"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 w:name="page13"/>
    <w:bookmarkEnd w:id="12"/>
    <w:p>
      <w:pPr>
        <w:ind w:right="40" w:firstLine="509"/>
        <w:spacing w:after="0" w:line="269"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NDA/BLA Review Process</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88"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Under the Prescription Drug User Fee Act, or PDUFA, as amended, each NDA or BLA must be accompanied by a user fee. The FDA adjusts the PDUFA user fees on an annual basis. PDUFA also imposes an annual program fee for approved human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49"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firstLine="509"/>
        <w:spacing w:after="0" w:line="285" w:lineRule="auto"/>
        <w:rPr>
          <w:sz w:val="20"/>
          <w:szCs w:val="20"/>
          <w:color w:val="auto"/>
        </w:rPr>
      </w:pPr>
      <w:r>
        <w:rPr>
          <w:rFonts w:ascii="Arial" w:cs="Arial" w:eastAsia="Arial" w:hAnsi="Arial"/>
          <w:sz w:val="16"/>
          <w:szCs w:val="16"/>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220" w:firstLine="509"/>
        <w:spacing w:after="0" w:line="275"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68"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41"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w:t>
      </w:r>
    </w:p>
    <w:p>
      <w:pPr>
        <w:spacing w:after="0" w:line="56"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 or Interchangeable</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shown to be highly similar to an FDA-licensed reference biological product. An application for licensure of a biosimilar product must include information demonstrating biosimilarity based upon the following, unless the FDA determines otherwise:</w:t>
      </w:r>
    </w:p>
    <w:p>
      <w:pPr>
        <w:spacing w:after="0" w:line="76" w:lineRule="exact"/>
        <w:rPr>
          <w:sz w:val="20"/>
          <w:szCs w:val="20"/>
          <w:color w:val="auto"/>
        </w:rPr>
      </w:pPr>
    </w:p>
    <w:p>
      <w:pPr>
        <w:ind w:left="760" w:right="20" w:hanging="378"/>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17" w:lineRule="exact"/>
        <w:rPr>
          <w:rFonts w:ascii="Arial" w:cs="Arial" w:eastAsia="Arial" w:hAnsi="Arial"/>
          <w:sz w:val="18"/>
          <w:szCs w:val="18"/>
          <w:color w:val="auto"/>
        </w:rPr>
      </w:pPr>
    </w:p>
    <w:p>
      <w:pPr>
        <w:ind w:left="760" w:right="180" w:hanging="378"/>
        <w:spacing w:after="0" w:line="308"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clinical study or studies (including the assessment of immunogenicity and pharmacokinetics or pharmacodynamics) sufficient to demonstrate safety, purity and potency in one or more conditions for which the reference product is licensed and intended to be used.</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an application must include information demonstrating that:</w:t>
      </w:r>
    </w:p>
    <w:p>
      <w:pPr>
        <w:spacing w:after="0" w:line="117" w:lineRule="exact"/>
        <w:rPr>
          <w:sz w:val="20"/>
          <w:szCs w:val="20"/>
          <w:color w:val="auto"/>
        </w:rPr>
      </w:pPr>
    </w:p>
    <w:p>
      <w:pPr>
        <w:ind w:left="760" w:right="380" w:hanging="378"/>
        <w:spacing w:after="0" w:line="342"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15" w:lineRule="exact"/>
        <w:rPr>
          <w:rFonts w:ascii="Arial" w:cs="Arial" w:eastAsia="Arial" w:hAnsi="Arial"/>
          <w:sz w:val="16"/>
          <w:szCs w:val="16"/>
          <w:color w:val="auto"/>
        </w:rPr>
      </w:pPr>
    </w:p>
    <w:p>
      <w:pPr>
        <w:ind w:left="760" w:right="72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62"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62" w:lineRule="exact"/>
        <w:rPr>
          <w:rFonts w:ascii="Arial" w:cs="Arial" w:eastAsia="Arial" w:hAnsi="Arial"/>
          <w:sz w:val="18"/>
          <w:szCs w:val="18"/>
          <w:color w:val="auto"/>
        </w:rPr>
      </w:pPr>
    </w:p>
    <w:p>
      <w:pPr>
        <w:ind w:left="760" w:right="3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62"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68"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17" w:lineRule="exact"/>
        <w:rPr>
          <w:rFonts w:ascii="Arial" w:cs="Arial" w:eastAsia="Arial" w:hAnsi="Arial"/>
          <w:sz w:val="18"/>
          <w:szCs w:val="18"/>
          <w:color w:val="auto"/>
        </w:rPr>
      </w:pPr>
    </w:p>
    <w:p>
      <w:pPr>
        <w:jc w:val="both"/>
        <w:ind w:left="760" w:right="160" w:hanging="378"/>
        <w:spacing w:after="0" w:line="26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76"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FDA approval is required before a biosimilar may be marketed in the United States. In addition, as with BLAs, biosimilar product applications will not be approved unless the product is manufactured in facilities designed to assure and preserve the biological product’s safety, purity and potency.</w:t>
      </w:r>
    </w:p>
    <w:p>
      <w:pPr>
        <w:spacing w:after="0" w:line="1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8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FDA may also place other conditions on approvals including the requirement for a Risk Evaluation and Mitigation Strategy, 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80"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applications, or suspension or revocation of product license approvals;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Laws</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4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For example, in the United States, our business operations, including any sales, marketing and scientific and educational programs, also must comply with state and federal fraud and abuse laws, including the federal Anti-Kickback Statue and false claims laws; federal data privacy and security laws; and federal transparency laws related to payments and/or other transfers of value made to physicians and other healthcare professionals and teaching hospitals. The federal Anti-Kickback Statute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False Claims Act. Federal false claims laws, including the False Claims Act,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160" w:firstLine="509"/>
        <w:spacing w:after="0" w:line="254" w:lineRule="auto"/>
        <w:rPr>
          <w:sz w:val="20"/>
          <w:szCs w:val="20"/>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Many states have similar laws and regulations that may differ from federal law in significant ways, thus complicating compliance efforts. For example, states have anti-kickback and false claims laws that may be broader in scope than analogous federal laws and may apply regardless of payer. In addition, the federal physician payment transparency requirements, sometimes referred to as the “Physician Payments Sunshine Act,” created under the ACA and its implementing regulations, require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8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HIPAA, as amended by the Health Information Technology for Economic and Clinical Health Act of 2009 (HITECH) and their respective implementing regulations,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such individually identifiable health information. In addition, state data privacy laws that protect the security of health information may differ from each other and may not be preempted by federal law.</w:t>
      </w:r>
    </w:p>
    <w:p>
      <w:pPr>
        <w:spacing w:after="0" w:line="68"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Moreover, several states and local jurisdictions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the registration of sales representatives, and prohibit certain other sales and marketing practices. In addition, the approval and commercialization of any of our product candidates outside the United States will also likely subject us to foreign equivalents of the healthcare laws mentioned above.</w:t>
      </w:r>
    </w:p>
    <w:p>
      <w:pPr>
        <w:spacing w:after="0" w:line="80" w:lineRule="exact"/>
        <w:rPr>
          <w:sz w:val="20"/>
          <w:szCs w:val="20"/>
          <w:color w:val="auto"/>
        </w:rPr>
      </w:pPr>
    </w:p>
    <w:p>
      <w:pPr>
        <w:jc w:val="both"/>
        <w:ind w:right="40" w:firstLine="509"/>
        <w:spacing w:after="0" w:line="301"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4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Failure to maintain compliance with these healthcare laws could result in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w:t>
      </w:r>
    </w:p>
    <w:p>
      <w:pPr>
        <w:spacing w:after="0" w:line="117" w:lineRule="exact"/>
        <w:rPr>
          <w:sz w:val="20"/>
          <w:szCs w:val="20"/>
          <w:color w:val="auto"/>
        </w:rPr>
      </w:pPr>
    </w:p>
    <w:p>
      <w:pPr>
        <w:ind w:right="180" w:firstLine="509"/>
        <w:spacing w:after="0" w:line="286" w:lineRule="auto"/>
        <w:rPr>
          <w:sz w:val="20"/>
          <w:szCs w:val="20"/>
          <w:color w:val="auto"/>
        </w:rPr>
      </w:pPr>
      <w:r>
        <w:rPr>
          <w:rFonts w:ascii="Arial" w:cs="Arial" w:eastAsia="Arial" w:hAnsi="Arial"/>
          <w:sz w:val="16"/>
          <w:szCs w:val="16"/>
          <w:color w:val="auto"/>
        </w:rPr>
        <w:t>Privacy laws in the U.S. are also increasingly complex and changing rapidly.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information. The CCPA provides for civil penalties for violations. Since the enactment of the CCPA, new privacy and data security laws have been proposed in more than half of the states and in the U.S.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Congress, reflecting a trend toward more stringent privacy legislation in the U.S. The CCPA itself will expand substantially as a result of California voters approving a November 2020 ballot measure that adopted the California Privacy Rights Act of 2020, or CPRA, which will, among other things, create a new administrative agency to implement and enforce California’s privacy laws effective January 1, 2023.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firstLine="509"/>
        <w:spacing w:after="0" w:line="271" w:lineRule="auto"/>
        <w:rPr>
          <w:sz w:val="20"/>
          <w:szCs w:val="20"/>
          <w:color w:val="auto"/>
        </w:rPr>
      </w:pPr>
      <w:r>
        <w:rPr>
          <w:rFonts w:ascii="Arial" w:cs="Arial" w:eastAsia="Arial" w:hAnsi="Arial"/>
          <w:sz w:val="17"/>
          <w:szCs w:val="17"/>
          <w:color w:val="auto"/>
        </w:rPr>
        <w:t>In addition, the processing of personal data in connection with clinical trials in the EU must comply with comprehensive data protection requirements imposed by EU’s General Data Protection Regulation, or GDPR. GDPR, which took effect on May 25, 2018, imposes stringent data protection requirements and provides for penalties for noncompliance that can include bans on processing personal data and fines of up to the greater of 20 million euros or four percent of worldwide annual revenues. The GDPR requires organizations to give detailed disclosures about how they collect, use and share personal information; in most cases, obtain explicit consent to process sensitive personal information,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70"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European data protection laws, including the GDPR, also restrict the transfer of personal information from Europe, including the European Economic Area, the United Kingdom and Switzerland, to the U.S.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the Court of Justice of the European Union adopted a decision in July 2020 invalidating the EU-U.S. Privacy Shield. The same decision also raised questions about whether one of the primary alternatives to the EU-U.S. Privacy Shield, namely, the European Commission’s Standard Contractual Clauses, can lawfully be used for personal information transfers from Europe to the U.S. or most other countries. Authorities in Switzerland also have issued guidance raising similar questions about the Swiss-U.S. Privacy Shield and the Standard Contractual Clauses.</w:t>
      </w:r>
    </w:p>
    <w:p>
      <w:pPr>
        <w:spacing w:after="0" w:line="5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failure to comply with any of these laws or regulatory requirements may result in possible legal or regulatory action. Depending on the circumstances, failure to meet applicable regulatory requirements can result in significant penalties, including administrative, civil, and criminal penalties, fines, imprisonment, disgorgement, injunctions, exclusion from participation in federal healthcare programs, integrity oversight and reporting obligations,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U.S. Health Care Reform</w:t>
      </w:r>
    </w:p>
    <w:p>
      <w:pPr>
        <w:spacing w:after="0" w:line="11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Further, the United States, there have been and continue to be a number of healthcare-related legislative initiatives that have significantly affected the healthcare industry.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from February 15, 2021 through May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unclear how any additional challenges and healthcare form measures of the Biden administration will impact the ACA and our business.</w:t>
      </w:r>
    </w:p>
    <w:p>
      <w:pPr>
        <w:spacing w:after="0" w:line="74"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Drug Price Competition and Patent Term Restoration Act of 1984, commonly referred to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20" w:firstLine="509"/>
        <w:spacing w:after="0" w:line="268"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7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As in the United States, medicinal products can be marketed only if a marketing authorization from the competent regulatory agencies has been obtained.</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6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the European Economic Area, or EEA, which is comprised of the 27 Member States of the European Union (including Norway and excluding Croatia), Iceland and Liechtenstein, medicinal products can only be commercialized after obtaining a Marketing Authorization, or MA. There are two types of marketing authorizations.</w:t>
      </w:r>
    </w:p>
    <w:p>
      <w:pPr>
        <w:spacing w:after="0" w:line="76" w:lineRule="exact"/>
        <w:rPr>
          <w:sz w:val="20"/>
          <w:szCs w:val="20"/>
          <w:color w:val="auto"/>
        </w:rPr>
      </w:pPr>
    </w:p>
    <w:p>
      <w:pPr>
        <w:ind w:left="760" w:right="260" w:hanging="378"/>
        <w:spacing w:after="0" w:line="271"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70" w:lineRule="exact"/>
        <w:rPr>
          <w:rFonts w:ascii="Arial" w:cs="Arial" w:eastAsia="Arial" w:hAnsi="Arial"/>
          <w:sz w:val="17"/>
          <w:szCs w:val="17"/>
          <w:color w:val="auto"/>
        </w:rPr>
      </w:pPr>
    </w:p>
    <w:p>
      <w:pPr>
        <w:ind w:left="760" w:right="20" w:hanging="378"/>
        <w:spacing w:after="0" w:line="269"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w:t>
      </w:r>
      <w:r>
        <w:rPr>
          <w:rFonts w:ascii="Arial" w:cs="Arial" w:eastAsia="Arial" w:hAnsi="Arial"/>
          <w:sz w:val="17"/>
          <w:szCs w:val="17"/>
          <w:i w:val="1"/>
          <w:iCs w:val="1"/>
          <w:color w:val="auto"/>
        </w:rPr>
        <w:t>i.e.,</w:t>
      </w:r>
      <w:r>
        <w:rPr>
          <w:rFonts w:ascii="Arial" w:cs="Arial" w:eastAsia="Arial" w:hAnsi="Arial"/>
          <w:sz w:val="17"/>
          <w:szCs w:val="17"/>
          <w:color w:val="auto"/>
        </w:rPr>
        <w:t xml:space="preserve"> in the RMS and the Member States Concerned).</w:t>
      </w:r>
    </w:p>
    <w:p>
      <w:pPr>
        <w:spacing w:after="0" w:line="74" w:lineRule="exact"/>
        <w:rPr>
          <w:sz w:val="20"/>
          <w:szCs w:val="20"/>
          <w:color w:val="auto"/>
        </w:rPr>
      </w:pPr>
    </w:p>
    <w:p>
      <w:pPr>
        <w:ind w:right="240" w:firstLine="509"/>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84"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right="80" w:firstLine="509"/>
        <w:spacing w:after="0" w:line="253" w:lineRule="auto"/>
        <w:rPr>
          <w:sz w:val="20"/>
          <w:szCs w:val="20"/>
          <w:color w:val="auto"/>
        </w:rPr>
      </w:pPr>
      <w:r>
        <w:rPr>
          <w:rFonts w:ascii="Arial" w:cs="Arial" w:eastAsia="Arial" w:hAnsi="Arial"/>
          <w:sz w:val="18"/>
          <w:szCs w:val="18"/>
          <w:color w:val="auto"/>
        </w:rPr>
        <w:t>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 23.1% of AMP and adding a new rebate calculation for “line extensions” (</w:t>
      </w:r>
      <w:r>
        <w:rPr>
          <w:rFonts w:ascii="Arial" w:cs="Arial" w:eastAsia="Arial" w:hAnsi="Arial"/>
          <w:sz w:val="18"/>
          <w:szCs w:val="18"/>
          <w:i w:val="1"/>
          <w:iCs w:val="1"/>
          <w:color w:val="auto"/>
        </w:rPr>
        <w:t>i.e.,</w:t>
      </w:r>
      <w:r>
        <w:rPr>
          <w:rFonts w:ascii="Arial" w:cs="Arial" w:eastAsia="Arial" w:hAnsi="Arial"/>
          <w:sz w:val="18"/>
          <w:szCs w:val="18"/>
          <w:color w:val="auto"/>
        </w:rPr>
        <w:t xml:space="preserv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CMS has proposed to expand Medicaid rebate liability to the territories of the United States as well.</w:t>
      </w:r>
    </w:p>
    <w:p>
      <w:pPr>
        <w:spacing w:after="0" w:line="88"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7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In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prices are determined based on AMP and Medicaid rebate data, the revisions to the Medicaid rebate formula and AMP definition described above could cause the required 340B discount to increase.</w:t>
      </w:r>
    </w:p>
    <w:p>
      <w:pPr>
        <w:spacing w:after="0" w:line="56"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8"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patent rights. We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Although we are not party to any material in-license agreements as of the date of this Annual Report on Form 10-K, we may in the future pursue in-licensing opportunities to strengthen our proprietary position in the field. We additionally rely on data exclusivity, market exclusivity, and patent term extensions when available, and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defend and enforce our proprietary rights, including our patents; and to operate without infringing the valid and enforceable patents and other proprietary rights of third parties.</w:t>
      </w:r>
    </w:p>
    <w:p>
      <w:pPr>
        <w:spacing w:after="0" w:line="7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have prosecuted numerous patents and patent applications and possess know-how and trade secrets relating to the development and commercialization of our ABC Platform and product candidates, including related manufacturing processes and technology. As of December 31, 2022, we were the assignee of record for approximately 8 U.S. issued patents, and the applicant for approximately 15 U.S. pending patent applications and one pending PCT application directed to certain of our proprietary technology, inventions, and improvements and our most advanced product candidates, as well as 40 patents issued in jurisdictions outside of the United States and 69 patent applications pending in jurisdictions outside of the United States that, in many cases, are counterparts to the foregoing U.S. patents and patent applications. For example, these patents and patent applications include claims directed to:</w:t>
      </w:r>
    </w:p>
    <w:p>
      <w:pPr>
        <w:spacing w:after="0" w:line="87"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therapeutic proteins and biologically active agents conjugated to a biopolymer, which comprise our ABC Platform;</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specific therapeutics, including tarcocimab;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components of our therapeutics.</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following patents and patent applications (including anticipated 20-year expiration dates, which could be altered by, for example, a disclaimer, patent term adjustment or patent term extension) relate to tarcocimab and/or ABC Platform:</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1"/>
              </w:rPr>
              <w:t>Anticipated U.S.</w:t>
            </w: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41"/>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Patent and Patent Application Numbers</w:t>
            </w:r>
          </w:p>
        </w:tc>
        <w:tc>
          <w:tcPr>
            <w:tcW w:w="14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120" w:type="dxa"/>
            <w:vAlign w:val="bottom"/>
          </w:tcPr>
          <w:p>
            <w:pPr>
              <w:spacing w:after="0"/>
              <w:rPr>
                <w:sz w:val="20"/>
                <w:szCs w:val="20"/>
                <w:color w:val="auto"/>
              </w:rPr>
            </w:pPr>
          </w:p>
        </w:tc>
        <w:tc>
          <w:tcPr>
            <w:tcW w:w="40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Description of Representative U.S. Claims</w:t>
            </w:r>
          </w:p>
        </w:tc>
      </w:tr>
      <w:tr>
        <w:trPr>
          <w:trHeight w:val="364"/>
        </w:trPr>
        <w:tc>
          <w:tcPr>
            <w:tcW w:w="3940" w:type="dxa"/>
            <w:vAlign w:val="bottom"/>
          </w:tcPr>
          <w:p>
            <w:pPr>
              <w:ind w:left="20"/>
              <w:spacing w:after="0"/>
              <w:rPr>
                <w:sz w:val="20"/>
                <w:szCs w:val="20"/>
                <w:color w:val="auto"/>
              </w:rPr>
            </w:pPr>
            <w:r>
              <w:rPr>
                <w:rFonts w:ascii="Arial" w:cs="Arial" w:eastAsia="Arial" w:hAnsi="Arial"/>
                <w:sz w:val="18"/>
                <w:szCs w:val="18"/>
                <w:color w:val="auto"/>
                <w:w w:val="95"/>
              </w:rPr>
              <w:t>US 8,846,021, US Appl. No. 17/553,605, EP Patent</w:t>
            </w:r>
          </w:p>
        </w:tc>
        <w:tc>
          <w:tcPr>
            <w:tcW w:w="31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2/28/2027</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Representative claims include conjugates</w:t>
            </w: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w w:val="92"/>
              </w:rPr>
              <w:t>No. 1988910, JP Patent No. 5528710, JP Patent No.</w:t>
            </w: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5745009, and foreign applications in certain</w:t>
            </w: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jurisdictions claiming priority to</w:t>
            </w: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PCT/US2007/005372</w:t>
            </w: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92"/>
        </w:trPr>
        <w:tc>
          <w:tcPr>
            <w:tcW w:w="3940" w:type="dxa"/>
            <w:vAlign w:val="bottom"/>
          </w:tcPr>
          <w:p>
            <w:pPr>
              <w:ind w:left="20"/>
              <w:spacing w:after="0"/>
              <w:rPr>
                <w:sz w:val="20"/>
                <w:szCs w:val="20"/>
                <w:color w:val="auto"/>
              </w:rPr>
            </w:pPr>
            <w:r>
              <w:rPr>
                <w:rFonts w:ascii="Arial" w:cs="Arial" w:eastAsia="Arial" w:hAnsi="Arial"/>
                <w:sz w:val="18"/>
                <w:szCs w:val="18"/>
                <w:color w:val="auto"/>
              </w:rPr>
              <w:t>US Appl. No. 17/409,578, AU Patent No.</w:t>
            </w:r>
          </w:p>
        </w:tc>
        <w:tc>
          <w:tcPr>
            <w:tcW w:w="31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4/15/2031</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Representative claims include conjugates</w:t>
            </w:r>
          </w:p>
        </w:tc>
      </w:tr>
    </w:tbl>
    <w:p>
      <w:pPr>
        <w:ind w:left="20"/>
        <w:spacing w:after="0"/>
        <w:rPr>
          <w:sz w:val="20"/>
          <w:szCs w:val="20"/>
          <w:color w:val="auto"/>
        </w:rPr>
      </w:pPr>
      <w:r>
        <w:rPr>
          <w:rFonts w:ascii="Arial" w:cs="Arial" w:eastAsia="Arial" w:hAnsi="Arial"/>
          <w:sz w:val="18"/>
          <w:szCs w:val="18"/>
          <w:color w:val="auto"/>
        </w:rPr>
        <w:t>2011239434, AU Patent No. 2017201930, BR Patent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11 2012 0261185, CA Patent No. 2795667, EP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Patent No. 2558538, EP Patent No. 3549963, HK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Patent No. 40015590, JP Patent No. 6568748, JP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Patent No. 6754749, KR Patent No. 10-2416359, MX</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Patent No. 365521, and foreign applications in certain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jurisdictions claiming priority to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PCT/US2011/032768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US 8,765,432, US Appl. No. 15/099,234, AU Patent</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5/10/2030</w:t>
            </w:r>
          </w:p>
        </w:tc>
        <w:tc>
          <w:tcPr>
            <w:tcW w:w="4620" w:type="dxa"/>
            <w:vAlign w:val="bottom"/>
          </w:tcPr>
          <w:p>
            <w:pPr>
              <w:ind w:left="620"/>
              <w:spacing w:after="0"/>
              <w:rPr>
                <w:sz w:val="20"/>
                <w:szCs w:val="20"/>
                <w:color w:val="auto"/>
              </w:rPr>
            </w:pPr>
            <w:r>
              <w:rPr>
                <w:rFonts w:ascii="Arial" w:cs="Arial" w:eastAsia="Arial" w:hAnsi="Arial"/>
                <w:sz w:val="18"/>
                <w:szCs w:val="18"/>
                <w:color w:val="auto"/>
                <w:w w:val="89"/>
              </w:rPr>
              <w:t>Representative claims include copolymers and methods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 2010330727, CA Patent No. 2783615, EP Patent</w:t>
            </w:r>
          </w:p>
        </w:tc>
        <w:tc>
          <w:tcPr>
            <w:tcW w:w="2060" w:type="dxa"/>
            <w:vAlign w:val="bottom"/>
          </w:tcPr>
          <w:p>
            <w:pPr>
              <w:spacing w:after="0"/>
              <w:rPr>
                <w:sz w:val="18"/>
                <w:szCs w:val="18"/>
                <w:color w:val="auto"/>
              </w:rPr>
            </w:pPr>
          </w:p>
        </w:tc>
        <w:tc>
          <w:tcPr>
            <w:tcW w:w="4620" w:type="dxa"/>
            <w:vAlign w:val="bottom"/>
          </w:tcPr>
          <w:p>
            <w:pPr>
              <w:ind w:left="620"/>
              <w:spacing w:after="0"/>
              <w:rPr>
                <w:sz w:val="20"/>
                <w:szCs w:val="20"/>
                <w:color w:val="auto"/>
              </w:rPr>
            </w:pPr>
            <w:r>
              <w:rPr>
                <w:rFonts w:ascii="Arial" w:cs="Arial" w:eastAsia="Arial" w:hAnsi="Arial"/>
                <w:sz w:val="18"/>
                <w:szCs w:val="18"/>
                <w:color w:val="auto"/>
              </w:rPr>
              <w:t>of making copolymers (ABC Platform specifically)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 2512462, EP Patent No. 3254678, CN Patent No.</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ZL201080062252.7, HK Patent No. 1247828, IN</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Patent No. 319269, JP Patent No. 5760007, JP Patent</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 5990629, JP Patent No. 6416832, JP Patent No.</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6777706, MX Patent No. 346423, MX Patent No.</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374020, KR Patent No. 10-1852044, MO Patent No.</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J/002943, and foreign applications in certain</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jurisdictions claiming priority to</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PCT/US2010/061358</w:t>
            </w:r>
          </w:p>
        </w:tc>
        <w:tc>
          <w:tcPr>
            <w:tcW w:w="2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377"/>
        </w:trPr>
        <w:tc>
          <w:tcPr>
            <w:tcW w:w="4500" w:type="dxa"/>
            <w:vAlign w:val="bottom"/>
          </w:tcPr>
          <w:p>
            <w:pPr>
              <w:spacing w:after="0"/>
              <w:rPr>
                <w:sz w:val="20"/>
                <w:szCs w:val="20"/>
                <w:color w:val="auto"/>
              </w:rPr>
            </w:pPr>
            <w:r>
              <w:rPr>
                <w:rFonts w:ascii="Arial" w:cs="Arial" w:eastAsia="Arial" w:hAnsi="Arial"/>
                <w:sz w:val="18"/>
                <w:szCs w:val="18"/>
                <w:color w:val="auto"/>
              </w:rPr>
              <w:t>US 10,702,608, US Appl. No. 16/781869, EP Patent</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12/21/2034</w:t>
            </w:r>
          </w:p>
        </w:tc>
        <w:tc>
          <w:tcPr>
            <w:tcW w:w="4620" w:type="dxa"/>
            <w:vAlign w:val="bottom"/>
          </w:tcPr>
          <w:p>
            <w:pPr>
              <w:ind w:left="620"/>
              <w:spacing w:after="0"/>
              <w:rPr>
                <w:sz w:val="20"/>
                <w:szCs w:val="20"/>
                <w:color w:val="auto"/>
              </w:rPr>
            </w:pPr>
            <w:r>
              <w:rPr>
                <w:rFonts w:ascii="Arial" w:cs="Arial" w:eastAsia="Arial" w:hAnsi="Arial"/>
                <w:sz w:val="18"/>
                <w:szCs w:val="18"/>
                <w:color w:val="auto"/>
                <w:w w:val="91"/>
              </w:rPr>
              <w:t>Representative claims include polymers and method of</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 3041513, JP Patent No. 6463361, JP Patent No.</w:t>
            </w:r>
          </w:p>
        </w:tc>
        <w:tc>
          <w:tcPr>
            <w:tcW w:w="2060" w:type="dxa"/>
            <w:vAlign w:val="bottom"/>
          </w:tcPr>
          <w:p>
            <w:pPr>
              <w:spacing w:after="0"/>
              <w:rPr>
                <w:sz w:val="18"/>
                <w:szCs w:val="18"/>
                <w:color w:val="auto"/>
              </w:rPr>
            </w:pPr>
          </w:p>
        </w:tc>
        <w:tc>
          <w:tcPr>
            <w:tcW w:w="4620" w:type="dxa"/>
            <w:vAlign w:val="bottom"/>
          </w:tcPr>
          <w:p>
            <w:pPr>
              <w:ind w:left="620"/>
              <w:spacing w:after="0"/>
              <w:rPr>
                <w:sz w:val="20"/>
                <w:szCs w:val="20"/>
                <w:color w:val="auto"/>
              </w:rPr>
            </w:pPr>
            <w:r>
              <w:rPr>
                <w:rFonts w:ascii="Arial" w:cs="Arial" w:eastAsia="Arial" w:hAnsi="Arial"/>
                <w:sz w:val="18"/>
                <w:szCs w:val="18"/>
                <w:color w:val="auto"/>
              </w:rPr>
              <w:t>making polymers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6732056, and foreign applications in certain</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jurisdictions claiming priority to</w:t>
            </w:r>
          </w:p>
        </w:tc>
        <w:tc>
          <w:tcPr>
            <w:tcW w:w="206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PCT/US2014/054622</w:t>
            </w:r>
          </w:p>
        </w:tc>
        <w:tc>
          <w:tcPr>
            <w:tcW w:w="2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72"/>
        </w:trPr>
        <w:tc>
          <w:tcPr>
            <w:tcW w:w="4500" w:type="dxa"/>
            <w:vAlign w:val="bottom"/>
          </w:tcPr>
          <w:p>
            <w:pPr>
              <w:spacing w:after="0"/>
              <w:rPr>
                <w:sz w:val="20"/>
                <w:szCs w:val="20"/>
                <w:color w:val="auto"/>
              </w:rPr>
            </w:pPr>
            <w:r>
              <w:rPr>
                <w:rFonts w:ascii="Arial" w:cs="Arial" w:eastAsia="Arial" w:hAnsi="Arial"/>
                <w:sz w:val="18"/>
                <w:szCs w:val="18"/>
                <w:color w:val="auto"/>
              </w:rPr>
              <w:t>US 11,066,465, US Appl. No. 17/301599, JP Patent</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12/29/2036</w:t>
            </w:r>
          </w:p>
        </w:tc>
        <w:tc>
          <w:tcPr>
            <w:tcW w:w="4620" w:type="dxa"/>
            <w:vAlign w:val="bottom"/>
          </w:tcPr>
          <w:p>
            <w:pPr>
              <w:ind w:left="620"/>
              <w:spacing w:after="0"/>
              <w:rPr>
                <w:sz w:val="20"/>
                <w:szCs w:val="20"/>
                <w:color w:val="auto"/>
              </w:rPr>
            </w:pPr>
            <w:r>
              <w:rPr>
                <w:rFonts w:ascii="Arial" w:cs="Arial" w:eastAsia="Arial" w:hAnsi="Arial"/>
                <w:sz w:val="18"/>
                <w:szCs w:val="18"/>
                <w:color w:val="auto"/>
                <w:w w:val="94"/>
              </w:rPr>
              <w:t>Representative claims include antibody and antibody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 7088454, RU Patent No. 2744860, and foreign</w:t>
            </w:r>
          </w:p>
        </w:tc>
        <w:tc>
          <w:tcPr>
            <w:tcW w:w="2060" w:type="dxa"/>
            <w:vAlign w:val="bottom"/>
          </w:tcPr>
          <w:p>
            <w:pPr>
              <w:spacing w:after="0"/>
              <w:rPr>
                <w:sz w:val="18"/>
                <w:szCs w:val="18"/>
                <w:color w:val="auto"/>
              </w:rPr>
            </w:pPr>
          </w:p>
        </w:tc>
        <w:tc>
          <w:tcPr>
            <w:tcW w:w="4620" w:type="dxa"/>
            <w:vAlign w:val="bottom"/>
          </w:tcPr>
          <w:p>
            <w:pPr>
              <w:ind w:left="620"/>
              <w:spacing w:after="0"/>
              <w:rPr>
                <w:sz w:val="20"/>
                <w:szCs w:val="20"/>
                <w:color w:val="auto"/>
              </w:rPr>
            </w:pPr>
            <w:r>
              <w:rPr>
                <w:rFonts w:ascii="Arial" w:cs="Arial" w:eastAsia="Arial" w:hAnsi="Arial"/>
                <w:sz w:val="18"/>
                <w:szCs w:val="18"/>
                <w:color w:val="auto"/>
                <w:w w:val="95"/>
              </w:rPr>
              <w:t>conjugate claims, as well as methods of making 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applications in certain jurisdictions claiming priority</w:t>
            </w:r>
          </w:p>
        </w:tc>
        <w:tc>
          <w:tcPr>
            <w:tcW w:w="2060" w:type="dxa"/>
            <w:vAlign w:val="bottom"/>
          </w:tcPr>
          <w:p>
            <w:pPr>
              <w:spacing w:after="0"/>
              <w:rPr>
                <w:sz w:val="18"/>
                <w:szCs w:val="18"/>
                <w:color w:val="auto"/>
              </w:rPr>
            </w:pPr>
          </w:p>
        </w:tc>
        <w:tc>
          <w:tcPr>
            <w:tcW w:w="4620" w:type="dxa"/>
            <w:vAlign w:val="bottom"/>
          </w:tcPr>
          <w:p>
            <w:pPr>
              <w:ind w:left="620"/>
              <w:spacing w:after="0"/>
              <w:rPr>
                <w:sz w:val="20"/>
                <w:szCs w:val="20"/>
                <w:color w:val="auto"/>
              </w:rPr>
            </w:pPr>
            <w:r>
              <w:rPr>
                <w:rFonts w:ascii="Arial" w:cs="Arial" w:eastAsia="Arial" w:hAnsi="Arial"/>
                <w:sz w:val="18"/>
                <w:szCs w:val="18"/>
                <w:color w:val="auto"/>
              </w:rPr>
              <w:t>using the conjugates</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to PCT/US2016/069336</w:t>
            </w:r>
          </w:p>
        </w:tc>
        <w:tc>
          <w:tcPr>
            <w:tcW w:w="2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593"/>
        </w:trPr>
        <w:tc>
          <w:tcPr>
            <w:tcW w:w="4500" w:type="dxa"/>
            <w:vAlign w:val="bottom"/>
          </w:tcPr>
          <w:p>
            <w:pPr>
              <w:spacing w:after="0"/>
              <w:rPr>
                <w:sz w:val="20"/>
                <w:szCs w:val="20"/>
                <w:color w:val="auto"/>
              </w:rPr>
            </w:pPr>
            <w:r>
              <w:rPr>
                <w:rFonts w:ascii="Arial" w:cs="Arial" w:eastAsia="Arial" w:hAnsi="Arial"/>
                <w:sz w:val="18"/>
                <w:szCs w:val="18"/>
                <w:color w:val="auto"/>
              </w:rPr>
              <w:t>US Appl. No. 17/066856 and foreign applications in</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10/9/2040</w:t>
            </w:r>
          </w:p>
        </w:tc>
        <w:tc>
          <w:tcPr>
            <w:tcW w:w="4620" w:type="dxa"/>
            <w:vAlign w:val="bottom"/>
          </w:tcPr>
          <w:p>
            <w:pPr>
              <w:ind w:left="620"/>
              <w:spacing w:after="0"/>
              <w:rPr>
                <w:sz w:val="20"/>
                <w:szCs w:val="20"/>
                <w:color w:val="auto"/>
              </w:rPr>
            </w:pPr>
            <w:r>
              <w:rPr>
                <w:rFonts w:ascii="Arial" w:cs="Arial" w:eastAsia="Arial" w:hAnsi="Arial"/>
                <w:sz w:val="18"/>
                <w:szCs w:val="18"/>
                <w:color w:val="auto"/>
                <w:w w:val="96"/>
              </w:rPr>
              <w:t>Representative claims include method of treating an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certain jurisdictions claiming priority to</w:t>
            </w:r>
          </w:p>
        </w:tc>
        <w:tc>
          <w:tcPr>
            <w:tcW w:w="2060" w:type="dxa"/>
            <w:vAlign w:val="bottom"/>
          </w:tcPr>
          <w:p>
            <w:pPr>
              <w:spacing w:after="0"/>
              <w:rPr>
                <w:sz w:val="18"/>
                <w:szCs w:val="18"/>
                <w:color w:val="auto"/>
              </w:rPr>
            </w:pPr>
          </w:p>
        </w:tc>
        <w:tc>
          <w:tcPr>
            <w:tcW w:w="4620" w:type="dxa"/>
            <w:vAlign w:val="bottom"/>
          </w:tcPr>
          <w:p>
            <w:pPr>
              <w:ind w:left="620"/>
              <w:spacing w:after="0"/>
              <w:rPr>
                <w:sz w:val="20"/>
                <w:szCs w:val="20"/>
                <w:color w:val="auto"/>
              </w:rPr>
            </w:pPr>
            <w:r>
              <w:rPr>
                <w:rFonts w:ascii="Arial" w:cs="Arial" w:eastAsia="Arial" w:hAnsi="Arial"/>
                <w:sz w:val="18"/>
                <w:szCs w:val="18"/>
                <w:color w:val="auto"/>
              </w:rPr>
              <w:t>eye disorder using the antibody conjugates</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PCT/US2020/055074</w:t>
            </w:r>
          </w:p>
        </w:tc>
        <w:tc>
          <w:tcPr>
            <w:tcW w:w="2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593"/>
        </w:trPr>
        <w:tc>
          <w:tcPr>
            <w:tcW w:w="4500" w:type="dxa"/>
            <w:vAlign w:val="bottom"/>
          </w:tcPr>
          <w:p>
            <w:pPr>
              <w:spacing w:after="0"/>
              <w:rPr>
                <w:sz w:val="20"/>
                <w:szCs w:val="20"/>
                <w:color w:val="auto"/>
              </w:rPr>
            </w:pPr>
            <w:r>
              <w:rPr>
                <w:rFonts w:ascii="Arial" w:cs="Arial" w:eastAsia="Arial" w:hAnsi="Arial"/>
                <w:sz w:val="18"/>
                <w:szCs w:val="18"/>
                <w:color w:val="auto"/>
              </w:rPr>
              <w:t>PCT Application No. PCT/US2022/024598</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4/13/2042</w:t>
            </w:r>
          </w:p>
        </w:tc>
        <w:tc>
          <w:tcPr>
            <w:tcW w:w="4620" w:type="dxa"/>
            <w:vAlign w:val="bottom"/>
          </w:tcPr>
          <w:p>
            <w:pPr>
              <w:ind w:left="620"/>
              <w:spacing w:after="0"/>
              <w:rPr>
                <w:sz w:val="20"/>
                <w:szCs w:val="20"/>
                <w:color w:val="auto"/>
              </w:rPr>
            </w:pPr>
            <w:r>
              <w:rPr>
                <w:rFonts w:ascii="Arial" w:cs="Arial" w:eastAsia="Arial" w:hAnsi="Arial"/>
                <w:sz w:val="18"/>
                <w:szCs w:val="18"/>
                <w:color w:val="auto"/>
                <w:w w:val="96"/>
              </w:rPr>
              <w:t>Representative claims include method of treating an</w:t>
            </w:r>
          </w:p>
        </w:tc>
      </w:tr>
      <w:tr>
        <w:trPr>
          <w:trHeight w:val="230"/>
        </w:trPr>
        <w:tc>
          <w:tcPr>
            <w:tcW w:w="4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20" w:type="dxa"/>
            <w:vAlign w:val="bottom"/>
          </w:tcPr>
          <w:p>
            <w:pPr>
              <w:ind w:left="620"/>
              <w:spacing w:after="0"/>
              <w:rPr>
                <w:sz w:val="20"/>
                <w:szCs w:val="20"/>
                <w:color w:val="auto"/>
              </w:rPr>
            </w:pPr>
            <w:r>
              <w:rPr>
                <w:rFonts w:ascii="Arial" w:cs="Arial" w:eastAsia="Arial" w:hAnsi="Arial"/>
                <w:sz w:val="18"/>
                <w:szCs w:val="18"/>
                <w:color w:val="auto"/>
              </w:rPr>
              <w:t>eye disorder using the antibody conjugates</w:t>
            </w:r>
          </w:p>
        </w:tc>
      </w:tr>
    </w:tbl>
    <w:p>
      <w:pPr>
        <w:spacing w:after="0" w:line="21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the normal course of business, we intend to pursue, when possible, composition, method of use, dosing and formulation patent protection, as well as manufacturing and drug development processes and technology. The patents and patent applications we have filed outside of the United States are in Europe, Japan, and various other jurisdictions.</w:t>
      </w:r>
    </w:p>
    <w:p>
      <w:pPr>
        <w:spacing w:after="0" w:line="7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70"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issued U.S. patents will expire on dates ranging from 2027 to 2036. If patents are issued on our pending patent applications, the resulting patents are projected to expire on dates ranging from 2027 to 2042.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24" w:name="page25"/>
    <w:bookmarkEnd w:id="24"/>
    <w:p>
      <w:pPr>
        <w:ind w:right="60" w:firstLine="509"/>
        <w:spacing w:after="0" w:line="268" w:lineRule="auto"/>
        <w:rPr>
          <w:sz w:val="20"/>
          <w:szCs w:val="20"/>
          <w:color w:val="auto"/>
        </w:rPr>
      </w:pPr>
      <w:r>
        <w:rPr>
          <w:rFonts w:ascii="Arial" w:cs="Arial" w:eastAsia="Arial" w:hAnsi="Arial"/>
          <w:sz w:val="17"/>
          <w:szCs w:val="17"/>
          <w:color w:val="auto"/>
        </w:rPr>
        <w:t>As of December 31, 2022, we have a total of 28 pending trademark applications and issued trademark registrations. These include two trademark registrations and two pending trademark applications in the United States, and 21 trademark registrations and three pending trademark applications in jurisdictions outside of the United States. Of the trademark registrations in jurisdictions outside of the United States, 15 are in China and one is in each of Canada, the European Union, Japan, Singapore, Switzerland and the United Kingdom. Of the pending trademark applications in jurisdictions outside of the United States, two are in China and one is in India. We also may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on “Risk Factors—Risks Related to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As of December 31, 2022, we had 112 employees worldwide, of whom 12 were based outside of the United States. Of these employees, 77 employees were engaged in or support research, development and clinical activities, 28 of whom hold a Ph.D. degree or M.D. (or equivalent) degree. None of our employees is subject to a collective bargaining agreement. Given our expanding operations and need to further grow our headcount to support our business, we continually assess employee turnover, recruitment initiatives, compensation and benefits programs, safety in performing critical laboratory work, diversity and other matters relevant to human capital management, and we review results with our Board of Directors on a periodic basis. We aim to offer competitive compensation (including salary, incentive bonus, and equity) and benefits packages in each of our locations and in each of employee groups at each level around the globe as assessed with internal and external benchmarking data.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As of the date of this Annual Report on Form 10-K, we are not a party to any material legal proceedings. In the normal course of business, we may be named as a party to various legal claims, actions and complaints. We cannot predict whether any resulting liability would have a material adverse effect on our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maintain an internet website at the following address: https://kodiak.com. The information on our website is not incorporated by reference in this Annual Report on Form 10-K or in any other filings we make with the Securities and Exchange Commission, or SEC.</w:t>
      </w:r>
    </w:p>
    <w:p>
      <w:pPr>
        <w:spacing w:after="0" w:line="62"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In addition, the SEC maintains a website at www.sec.gov that contains reports, proxy and information statements, and other information regarding issuers that file electronically with the SEC.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You should consider carefully the following risk factors, together with all the other information in this Annual Report on Form 10-K, including the “Management’s Discussion and Analysis of Financial Condition and Results of Operations” section and our consolidated financial statements and notes thereto. The occurrence of any events described in the following risk factors and the risks described elsewhere in this Annual Report on Form 10-K could harm our business, operating results, financial condition, and/or growth prospects or cause our actual results to differ materially from those contained in forward-looking statements that we have made in this Annual Report on Form 10-K and those may make from time to time. You should consider all of the risk factors described when evaluating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prospects are heavily dependent on our tarcocimab product candidate, which is currently in clinical development for multiple indications.</w:t>
      </w:r>
    </w:p>
    <w:p>
      <w:pPr>
        <w:spacing w:after="0" w:line="140"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Tarcocimab is our first product candidate in clinical trials. It may be years before a registrational-type trial is completed, if at all. Further, we cannot be certain that either tarcocimab or any of our other product candidates will be successful in clinical trials.</w:t>
      </w:r>
    </w:p>
    <w:p>
      <w:pPr>
        <w:spacing w:after="0" w:line="62" w:lineRule="exact"/>
        <w:rPr>
          <w:sz w:val="20"/>
          <w:szCs w:val="20"/>
          <w:color w:val="auto"/>
        </w:rPr>
      </w:pPr>
    </w:p>
    <w:p>
      <w:pPr>
        <w:ind w:right="200" w:firstLine="509"/>
        <w:spacing w:after="0" w:line="291" w:lineRule="auto"/>
        <w:rPr>
          <w:sz w:val="20"/>
          <w:szCs w:val="20"/>
          <w:color w:val="auto"/>
        </w:rPr>
      </w:pPr>
      <w:r>
        <w:rPr>
          <w:rFonts w:ascii="Arial" w:cs="Arial" w:eastAsia="Arial" w:hAnsi="Arial"/>
          <w:sz w:val="16"/>
          <w:szCs w:val="16"/>
          <w:color w:val="auto"/>
        </w:rPr>
        <w:t>Our early preclinical and Phase 1/1b clinical trial results for tarcocimab in the respective indications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with tarcocimab and followed for longer periods of time.</w:t>
      </w:r>
    </w:p>
    <w:p>
      <w:pPr>
        <w:spacing w:after="0" w:line="58"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For example, in February 2022, we announced topline results from our randomized, double-masked, active comparator-controlled Phase 2b/3 clinical trial evaluating the efficacy, durability and safety of tarcocimab in treatment-naïve subjects with neovascular wet AMD. The results show that tarcocimab did not meet the primary efficacy endpoint of showing non-inferior visual acuity gains for subjects dosed on extended regimens compared to aflibercept given every eight weeks.</w:t>
      </w:r>
    </w:p>
    <w:p>
      <w:pPr>
        <w:spacing w:after="0" w:line="79"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tarcocimab clinical study designs and data are not necessarily predictive of tarcocimab’s final marketed product label. FDA may not approve a label for a particular dosing frequency, even if we believe the data demonstrate support for that dosing.</w:t>
      </w:r>
    </w:p>
    <w:p>
      <w:pPr>
        <w:spacing w:after="0" w:line="56"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We may in the future advance product candidates into clinical trials and terminate such trials prior to their completion. While we have certain preclinical programs such as our triplet programs in development and intend to initiate clinical trials for KSI-501, as well as intend to develop other product candidates, it will take additional investment and time for such programs to reach the same stage of development as tarcocimab.</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tarcocimab in clinical development may require us to discontinue development of other product candidates based on our ABC Platform.</w:t>
      </w:r>
    </w:p>
    <w:p>
      <w:pPr>
        <w:spacing w:after="0" w:line="140"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If tarcocimab fails in development as a result of any underlying problem with our platform, then we may discontinue development of some or all of our product candidates that are based on our ABC Platform. If we discontinue development of tarcocimab, or if tarcocimab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30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approval may be for indications, dosage and administration or patient populations that are not as broad as intended or desired;</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 for example a positive benefit-risk profile;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129" w:lineRule="exact"/>
        <w:rPr>
          <w:sz w:val="20"/>
          <w:szCs w:val="20"/>
          <w:color w:val="auto"/>
        </w:rPr>
      </w:pPr>
    </w:p>
    <w:p>
      <w:pPr>
        <w:ind w:right="420" w:firstLine="509"/>
        <w:spacing w:after="0" w:line="279" w:lineRule="auto"/>
        <w:rPr>
          <w:sz w:val="20"/>
          <w:szCs w:val="20"/>
          <w:color w:val="auto"/>
        </w:rPr>
      </w:pPr>
      <w:r>
        <w:rPr>
          <w:rFonts w:ascii="Arial" w:cs="Arial" w:eastAsia="Arial" w:hAnsi="Arial"/>
          <w:sz w:val="17"/>
          <w:szCs w:val="17"/>
          <w:color w:val="auto"/>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may not be successful in our efforts to further develop our ABC Platform and current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right="20" w:firstLine="509"/>
        <w:spacing w:after="0" w:line="269"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4"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7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inability to generate sufficient preclinical,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or continuation of clinical trials;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determination by the reviewing regulatory authority to require more costly or lengthy clinical trials than we currently anticipate;</w:t>
      </w:r>
    </w:p>
    <w:p>
      <w:pPr>
        <w:spacing w:after="0" w:line="128" w:lineRule="exact"/>
        <w:rPr>
          <w:rFonts w:ascii="Arial" w:cs="Arial" w:eastAsia="Arial" w:hAnsi="Arial"/>
          <w:sz w:val="17"/>
          <w:szCs w:val="17"/>
          <w:color w:val="auto"/>
        </w:rPr>
      </w:pPr>
    </w:p>
    <w:p>
      <w:pPr>
        <w:ind w:left="1020" w:right="6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left="1020" w:right="100" w:hanging="503"/>
        <w:spacing w:after="0" w:line="25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w:t>
      </w:r>
    </w:p>
    <w:p>
      <w:pPr>
        <w:spacing w:after="0" w:line="84"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good clinical practices, or GCPs, requirements, or applicable EMA or other regulatory guidelines in other countries;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and for use in regulatory filings or the inability to do any of the foregoing.</w:t>
      </w:r>
    </w:p>
    <w:p>
      <w:pPr>
        <w:spacing w:after="0" w:line="6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w:t>
      </w:r>
    </w:p>
    <w:p>
      <w:pPr>
        <w:spacing w:after="0" w:line="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p>
    <w:p>
      <w:pPr>
        <w:spacing w:after="0" w:line="76"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the safety profile we have observed in the Phase 1a/1b study of tarcocimab and in the Phase 2b/3 clinical trial of tarcocimab in treatment-naïve subjects with neovascular wet AMD, and the Phase 3 clinical trial evaluating tarcocimab in treatment-naïve subjects with retinal vein occlusion may not be representative of the safety profile in additional studies. We may still observe significant safety events that may negatively impact the tarcocimab program and the ABC Platform. A safety profile for tarcocimab in line with today’s standard of care agents based on a safety database through pivotal studies of approximately 1,500 patients may not be sustained when administered to 100,000s of patients at varying dose intervals if approved.</w:t>
      </w:r>
    </w:p>
    <w:p>
      <w:pPr>
        <w:spacing w:after="0" w:line="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most advanced product candidate, tarcocimab,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w:t>
      </w:r>
    </w:p>
    <w:p>
      <w:pPr>
        <w:spacing w:after="0" w:line="79"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may heighten the risk of adverse effects associated with anti-VEGF treatments generally, both in the eye and in the rest of the body. There are risks inherent in the intravitreal injection procedure of drugs like tarcocimab which can cause injury to the eye and other complications including conjunctival hemorrhage, punctate keratitis, eye pain, conjunctival hyperemia, intra-ocular inflammation, and endophthalmitis. Tarcocimab is also being explored clinically with higher frequency dosing, which may increase the risk of potential adverse events. Any additional toxicology signal observed, be it real or perceived, may negatively impact perceptions of utilization of tarcocimab in broader populations and impact clinical trial enrollment, regulatory approval and commercial success.</w:t>
      </w:r>
    </w:p>
    <w:p>
      <w:pPr>
        <w:spacing w:after="0" w:line="5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69" w:lineRule="exact"/>
        <w:rPr>
          <w:sz w:val="20"/>
          <w:szCs w:val="20"/>
          <w:color w:val="auto"/>
        </w:rPr>
      </w:pPr>
    </w:p>
    <w:p>
      <w:pPr>
        <w:ind w:right="580" w:firstLine="509"/>
        <w:spacing w:after="0" w:line="342"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left="1020" w:right="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6"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health epidemics, including the resulting shelter-in-place, travel or similar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safety events may cause physicians to decrease patient enrollment in our current or planned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40" w:firstLine="509"/>
        <w:spacing w:after="0" w:line="268"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For example, in our Phase 2b/3 clinical trial evaluating the efficacy, durability and safety of tarcocimab in treatment-naïve subjects with neovascular wet AMD, tarcocimab did not meet the primary efficacy endpoint of showing non-inferior visual acuity gains for subjects dosed on extended regimens compared to aflibercept given every eight weeks.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8"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Our tarcocimab pivotal study program relies on a single active arm in each study at a single dose (5mg), such that if a safety observation is observed there is no fallback position at a lower dose to rely 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spacing w:after="0" w:line="16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 xml:space="preserve">The topline results from our Phase 2b/3 pivotal study of tarcocimab in wet AMD </w:t>
      </w:r>
      <w:r>
        <w:rPr>
          <w:rFonts w:ascii="Arial" w:cs="Arial" w:eastAsia="Arial" w:hAnsi="Arial"/>
          <w:sz w:val="16"/>
          <w:szCs w:val="16"/>
          <w:b w:val="1"/>
          <w:bCs w:val="1"/>
          <w:i w:val="1"/>
          <w:iCs w:val="1"/>
          <w:color w:val="auto"/>
        </w:rPr>
        <w:t>a</w:t>
      </w:r>
      <w:r>
        <w:rPr>
          <w:rFonts w:ascii="Arial" w:cs="Arial" w:eastAsia="Arial" w:hAnsi="Arial"/>
          <w:sz w:val="18"/>
          <w:szCs w:val="18"/>
          <w:b w:val="1"/>
          <w:bCs w:val="1"/>
          <w:i w:val="1"/>
          <w:iCs w:val="1"/>
          <w:color w:val="auto"/>
        </w:rPr>
        <w:t>nd from our Phase 3 pivotal study BEACON in RVO may lead to further study design modifications in our other ongoing pivotal studies and may impact the timeline of completion and likelihood of success of these pivotal studies.</w:t>
      </w:r>
    </w:p>
    <w:p>
      <w:pPr>
        <w:spacing w:after="0" w:line="7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announced in February 2022 that our Phase 2b/3 pivotal study of tarcocimab in wet AMD did not meet the primary efficacy endpoint of non-inferiority in visual acuity gains for tarcocimab treated patients on extended regimens of every 12-, 16-, or 20- weeks compared to patients treated with aflibercept every eight weeks. In light of these results, we have implemented changes to our ongoing Phase 3 studies GLEAM and GLIMMER in DME and Phase 3 study DAYLIGHT in wet AMD.</w:t>
      </w:r>
    </w:p>
    <w:p>
      <w:pPr>
        <w:spacing w:after="0" w:line="79"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In August 2022, we announced that our BEACON Phase 3 pivotal study of tarcocimab in RVO met the primary efficacy endpoint of non-inferior visual acuity gains for patients treated with tarcocimab every eight weeks following two monthly loading doses compared to patients given aflibercept every four weeks per its label.</w:t>
      </w:r>
    </w:p>
    <w:p>
      <w:pPr>
        <w:spacing w:after="0" w:line="76" w:lineRule="exact"/>
        <w:rPr>
          <w:sz w:val="20"/>
          <w:szCs w:val="20"/>
          <w:color w:val="auto"/>
        </w:rPr>
      </w:pPr>
    </w:p>
    <w:p>
      <w:pPr>
        <w:ind w:right="300" w:firstLine="509"/>
        <w:spacing w:after="0" w:line="286" w:lineRule="auto"/>
        <w:rPr>
          <w:sz w:val="20"/>
          <w:szCs w:val="20"/>
          <w:color w:val="auto"/>
        </w:rPr>
      </w:pPr>
      <w:r>
        <w:rPr>
          <w:rFonts w:ascii="Arial" w:cs="Arial" w:eastAsia="Arial" w:hAnsi="Arial"/>
          <w:sz w:val="17"/>
          <w:szCs w:val="17"/>
          <w:color w:val="auto"/>
        </w:rPr>
        <w:t>Considering the totality of clinical study results of tarcocimab reported to date, we may decide to further modify the design of our other ongoing pivotal studies in order to reduce risks and increase probability of success, which may lead to potential delays in trial readouts and may impact the likelihood of trial success, which may in turn harm our business and operations and adversely affect our stock price.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6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0"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There are a number of large pharmaceutical and biotechnology companies that are currently pursuing the development of products for the treatment of the retinal diseases for which we have product candidates, including wet AMD, DME/DR, and RVO.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tarcocimab. Companies that we are aware are developing therapeutics in the retinal disease area include large companies with significant financial resources, such as Roche, Novartis, Bayer and Regeneron, AbbVie/Allergan, Mylan, Johnson &amp; Johnson, and Samsung Bioepis. In addition to competition from other companies targeting retinal indications, any products we may develop may also face competition from other types of therapies, such as gene-editing therapies and drug delivery devices.</w:t>
      </w:r>
    </w:p>
    <w:p>
      <w:pPr>
        <w:spacing w:after="0" w:line="5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Two Lucentis biosimilars were approved in the United States in 2022, and their approval may impact market dynamics and payor policies negatively for tarcocimab. Roche’s product, Vabysmo (faricimab) received FDA approval for the treatment of wet AMD and DME in January 2022 and met its non-inferiority endpoint in pivotal studies in RVO. We believe faricimab’s clinical profile together with physician enthusiasm for a new branded anti-VEGF will make it an important product in the marketplace. Regeneron reported positive topline results from its Phase 3 studies of a higher dose formulation of aflibercept that met its non-inferiority endpoint in pivotal studies in wet AMD and DME while dosing a majority of patients on an every 3 or 4 month interval. If approved, we believe high dose aflibercept may become an important therapy in the marketplace given Regeneron’s incumbent position in retinal diseases. Even if tarcocimab presents a compelling clinical profile, we may not be able to market our product candidates as effectively as our competitors. For example, entrenched franchises may seek to impede adoption of tarcocimab through significant discounts or rebates.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firstLine="509"/>
        <w:spacing w:after="0" w:line="268"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Annual Report on Form 10-K titled “Risks Related to Our Intellectual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the ongoing military conflict between Russia and Ukraine and the related sanctions imposed against Russia, global macroeconomic conditions, bank failures or other reasons.</w:t>
      </w:r>
    </w:p>
    <w:p>
      <w:pPr>
        <w:spacing w:after="0" w:line="70"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tarcocimab would require at least 12 months to manufacture. In the event of significant product loss and materials shortages, we may be unable to produce adequate amounts of our product candidates or products for our operational needs.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20" w:firstLine="509"/>
        <w:spacing w:after="0" w:line="279"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rely on third parties for raw materials needed for manufacturing tarcocimab. We may not be able to obtain adequate amounts in the future. These challenges are magnified by the international nature of our supply chain, which, for tarcocimab, requires drug substance and drug product sourced from single source suppliers from China, Japan, the United Kingdom, the United States and Switzerland. For example, the effects of health epidemics, like the COVID-19 pandemic and the resulting shelter-in-place, travel or similar restrictions may impact the timing of clinical resupply facing and BLA facing manufacturing activities.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and regulatory applications or our products for patients, if approved, could be delayed or stopped, or we may be unable to establish a commercially viable cost structure.</w:t>
      </w:r>
    </w:p>
    <w:p>
      <w:pPr>
        <w:spacing w:after="0" w:line="7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tarcocimab to date and has not made any commercial lots. The manufacturing processes for tarcocimab have never been tested at commercial scale and the process validation requirement (the requirement to consistently produce the active pharmaceutical ingredient used in tarcocimab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7"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COVID-19 vaccines and therapeutic treatments, and the success of and demand for these vaccines and therapeutic treatments means we and our programs are competing for scarce manufacturing resources. We aim to distribute tarcocimab in a prefilled syringe early in our commercial rollout. We may not be able to complete our prefilled syringe activities in a timely manner, or we may fail technically to design and develop a prefilled syringe for tarcocimab. If we require large volumes of glass vials, we may not be able to secure a sufficient supply due to COVID-19-related shortages of glass and vials.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340" w:firstLine="509"/>
        <w:spacing w:after="0" w:line="30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5" w:name="page36"/>
    <w:bookmarkEnd w:id="35"/>
    <w:p>
      <w:pPr>
        <w:ind w:right="20" w:firstLine="509"/>
        <w:spacing w:after="0" w:line="275"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1020" w:right="6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7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efficacy and safety of such product candidates as demonstrated in pivotal clinical trials and published in peer-reviewed journals;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label as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or other regulatory agencies;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comparable foreign regulatory authorities, including any limitations, contraindications or warnings contained in a product’s approved labeling;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Drug pricing and access policies in the United States and internationally may change and negatively impact tarcocimab’s commercial viability. Proposed policy changes, including the potential for Medicare to negotiate with drug manufacturers under the newly enacted Inflation Reduction Act of 2022 (the “IRA”), may limit our ability to competitively price tarcocimab, if approved. Further, commercial insurers may limit patient access to tarcocimab,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6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7" w:name="page38"/>
    <w:bookmarkEnd w:id="37"/>
    <w:p>
      <w:pPr>
        <w:jc w:val="both"/>
        <w:ind w:right="260" w:firstLine="509"/>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8" w:name="page39"/>
    <w:bookmarkEnd w:id="38"/>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1020" w:right="1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implementation or results of our clinical trials or the portfolio of clinical trials planned for submission in our BLA;</w:t>
      </w:r>
    </w:p>
    <w:p>
      <w:pPr>
        <w:spacing w:after="0" w:line="62"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5"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indication(s), when compared to the standard of care, is acceptable;</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study data may not be positive in all clinical trials demonstrating a mix of positive and negative clinical trial results;</w:t>
      </w:r>
    </w:p>
    <w:p>
      <w:pPr>
        <w:spacing w:after="0" w:line="117" w:lineRule="exact"/>
        <w:rPr>
          <w:rFonts w:ascii="Arial" w:cs="Arial" w:eastAsia="Arial" w:hAnsi="Arial"/>
          <w:sz w:val="18"/>
          <w:szCs w:val="18"/>
          <w:color w:val="auto"/>
        </w:rPr>
      </w:pPr>
    </w:p>
    <w:p>
      <w:pPr>
        <w:ind w:left="1020" w:right="220" w:hanging="503"/>
        <w:spacing w:after="0" w:line="342"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EMA or comparable foreign regulatory authorities may fail to approve the chemistry, manufacturing and controls processes, test procedures and specifications, or facilities or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20" w:right="3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9" w:name="page40"/>
    <w:bookmarkEnd w:id="39"/>
    <w:p>
      <w:pPr>
        <w:ind w:right="20" w:firstLine="509"/>
        <w:spacing w:after="0" w:line="277"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are conducting clinical trials for our product candidates outside the United States (or the respective jurisdictions of other regulatory authorities), and the FDA, (or EMA and applicable foreign regulatory authorities) may not accept data from such trials.</w:t>
      </w:r>
    </w:p>
    <w:p>
      <w:pPr>
        <w:spacing w:after="0" w:line="3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plan to conduct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58"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jc w:val="both"/>
        <w:ind w:right="420" w:firstLine="509"/>
        <w:spacing w:after="0" w:line="31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41"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firstLine="509"/>
        <w:spacing w:after="0" w:line="268" w:lineRule="auto"/>
        <w:rPr>
          <w:sz w:val="20"/>
          <w:szCs w:val="20"/>
          <w:color w:val="auto"/>
        </w:rPr>
      </w:pPr>
      <w:r>
        <w:rPr>
          <w:rFonts w:ascii="Arial" w:cs="Arial" w:eastAsia="Arial" w:hAnsi="Arial"/>
          <w:sz w:val="17"/>
          <w:szCs w:val="17"/>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76"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40" w:firstLine="509"/>
        <w:spacing w:after="0" w:line="286" w:lineRule="auto"/>
        <w:rPr>
          <w:sz w:val="20"/>
          <w:szCs w:val="20"/>
          <w:color w:val="auto"/>
        </w:rPr>
      </w:pPr>
      <w:r>
        <w:rPr>
          <w:rFonts w:ascii="Arial" w:cs="Arial" w:eastAsia="Arial" w:hAnsi="Arial"/>
          <w:sz w:val="16"/>
          <w:szCs w:val="16"/>
          <w:color w:val="auto"/>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Biden administration will impact the ACA and our business.</w:t>
      </w:r>
    </w:p>
    <w:p>
      <w:pPr>
        <w:spacing w:after="0" w:line="5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will remain in effect through 2031 unless additional Congressional action is taken. Under current legislation the actual reduction in Medicare payments will vary from 1% in 2022 to up to 4% in the final fiscal year of this sequester.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beginning January 1, 2024. In addition, Congress is considering additional health reform measures, such as capping the costs for prescription drugs covered by Medicare Part D and by setting the annual out-of-pocket limit at $2,000 beginning in 2024, as part of other health reform initiatives.</w:t>
      </w:r>
    </w:p>
    <w:p>
      <w:pPr>
        <w:spacing w:after="0" w:line="6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60" w:firstLine="509"/>
        <w:spacing w:after="0" w:line="285" w:lineRule="auto"/>
        <w:rPr>
          <w:sz w:val="20"/>
          <w:szCs w:val="20"/>
          <w:color w:val="auto"/>
        </w:rPr>
      </w:pPr>
      <w:r>
        <w:rPr>
          <w:rFonts w:ascii="Arial" w:cs="Arial" w:eastAsia="Arial" w:hAnsi="Arial"/>
          <w:sz w:val="16"/>
          <w:szCs w:val="16"/>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expect that the ACA, the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40" w:firstLine="509"/>
        <w:spacing w:after="0" w:line="296" w:lineRule="auto"/>
        <w:rPr>
          <w:sz w:val="20"/>
          <w:szCs w:val="20"/>
          <w:color w:val="auto"/>
        </w:rPr>
      </w:pPr>
      <w:r>
        <w:rPr>
          <w:rFonts w:ascii="Arial" w:cs="Arial" w:eastAsia="Arial" w:hAnsi="Arial"/>
          <w:sz w:val="16"/>
          <w:szCs w:val="16"/>
          <w:color w:val="auto"/>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1" w:lineRule="exact"/>
        <w:rPr>
          <w:sz w:val="20"/>
          <w:szCs w:val="20"/>
          <w:color w:val="auto"/>
        </w:rPr>
      </w:pPr>
    </w:p>
    <w:p>
      <w:pPr>
        <w:ind w:left="1020" w:right="20" w:hanging="503"/>
        <w:spacing w:after="0" w:line="272"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rFonts w:ascii="Arial" w:cs="Arial" w:eastAsia="Arial" w:hAnsi="Arial"/>
          <w:sz w:val="17"/>
          <w:szCs w:val="17"/>
          <w:color w:val="auto"/>
        </w:rPr>
      </w:pPr>
    </w:p>
    <w:p>
      <w:pPr>
        <w:ind w:left="1020" w:right="4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79" w:lineRule="exact"/>
        <w:rPr>
          <w:rFonts w:ascii="Arial" w:cs="Arial" w:eastAsia="Arial" w:hAnsi="Arial"/>
          <w:sz w:val="18"/>
          <w:szCs w:val="18"/>
          <w:color w:val="auto"/>
        </w:rPr>
      </w:pPr>
    </w:p>
    <w:p>
      <w:pPr>
        <w:ind w:left="1020" w:right="40" w:hanging="503"/>
        <w:spacing w:after="0" w:line="291"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w:t>
      </w:r>
    </w:p>
    <w:p>
      <w:pPr>
        <w:spacing w:after="0" w:line="58" w:lineRule="exact"/>
        <w:rPr>
          <w:rFonts w:ascii="Arial" w:cs="Arial" w:eastAsia="Arial" w:hAnsi="Arial"/>
          <w:sz w:val="16"/>
          <w:szCs w:val="16"/>
          <w:color w:val="auto"/>
        </w:rPr>
      </w:pPr>
    </w:p>
    <w:p>
      <w:pPr>
        <w:ind w:left="1020" w:right="1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79" w:lineRule="exact"/>
        <w:rPr>
          <w:rFonts w:ascii="Arial" w:cs="Arial" w:eastAsia="Arial" w:hAnsi="Arial"/>
          <w:sz w:val="18"/>
          <w:szCs w:val="18"/>
          <w:color w:val="auto"/>
        </w:rPr>
      </w:pPr>
    </w:p>
    <w:p>
      <w:pPr>
        <w:ind w:left="1020" w:hanging="503"/>
        <w:spacing w:after="0" w:line="25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w:t>
      </w:r>
    </w:p>
    <w:p>
      <w:pPr>
        <w:spacing w:after="0" w:line="84"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1020" w:right="20" w:hanging="503"/>
        <w:spacing w:after="0" w:line="288"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60"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sales; and other adverse business consequences.</w:t>
      </w:r>
    </w:p>
    <w:p>
      <w:pPr>
        <w:spacing w:after="0" w:line="76"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In the ordinary course of business, we may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a variety of provincial, state, national, and foreign laws and regulations, as well as policies, contracts and other obligations that apply to the processing of sensitive information. Data privacy and security laws and regulations are evolving and may result in ever-increasing regulatory and public scrutiny and escalating levels of enforcement and sanctions.</w:t>
      </w:r>
    </w:p>
    <w:p>
      <w:pPr>
        <w:spacing w:after="0" w:line="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and consumer protection laws.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data. The CCPA provides for civil penalties for violations (up to $7,500 per violation) and a private right of action for certain data breaches. In addition, it is anticipated that the California Privacy Rights Act of 2020, or CPRA, effective January 1, 2023, will expand the CCPA. Additionally, the CPRA establishes a new California Privacy Protection Agency to implement and enforce the CPRA, which could increase the risk of enforcement. While certain clinical trial activities are exempt from the CCPA’s and the CPRA’s requirements, other personal data that we handle may be subject to the CCPA and the CPRA, which may increase our compliance costs, exposure to regulatory enforcement action and other liabilities. Since the enactment of the CCPA, new privacy and data security laws have been proposed in more than half of the states and in the U.S. Congress, reflecting a trend toward more stringent privacy legislation in the U.S. For example, Virginia passed the Consumer Data Protection Act, Colorado passed the Colorado Privacy Act, and Utah passed the Utah Consumer Privacy Act, all of which become effective in 2023.</w:t>
      </w:r>
    </w:p>
    <w:p>
      <w:pPr>
        <w:spacing w:after="0" w:line="7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Violators of these laws face significant penalties. For example, under the EU GDPR, government regulators may impose temporary or definitive bans on data processing, as well as fines of up to 20 million euros or 4% of annual global revenue, whichever is greater. Further, the EU GDPR also provides for private litigation related to the processing of personal data that can be brought by classes of data subjects or consumer protection organizations authorized at law to represent the data subjects’ interests.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20" w:firstLine="509"/>
        <w:spacing w:after="0" w:line="275" w:lineRule="auto"/>
        <w:rPr>
          <w:sz w:val="20"/>
          <w:szCs w:val="20"/>
          <w:color w:val="auto"/>
        </w:rPr>
      </w:pPr>
      <w:r>
        <w:rPr>
          <w:rFonts w:ascii="Arial" w:cs="Arial" w:eastAsia="Arial" w:hAnsi="Arial"/>
          <w:sz w:val="17"/>
          <w:szCs w:val="17"/>
          <w:color w:val="auto"/>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6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GDPR, CCPA and many other laws and regulations relating to data privacy and security are still being tested in courts, and they are subject to new and differing interpretations by courts and regulatory officials. We are working to comply with the data privacy and security laws and regulations that apply to us, and we anticipate needing to devote significant additional resources to complying with these laws and regulations. It is possible that the GDPR, CCPA or other laws and regulations relating to data privacy and security may be interpreted and applied in a manner that is inconsistent from jurisdiction to jurisdiction or inconsistent with our current policies and practices.</w:t>
      </w:r>
    </w:p>
    <w:p>
      <w:pPr>
        <w:spacing w:after="0" w:line="80" w:lineRule="exact"/>
        <w:rPr>
          <w:sz w:val="20"/>
          <w:szCs w:val="20"/>
          <w:color w:val="auto"/>
        </w:rPr>
      </w:pPr>
    </w:p>
    <w:p>
      <w:pPr>
        <w:ind w:right="380" w:firstLine="509"/>
        <w:spacing w:after="0" w:line="257" w:lineRule="auto"/>
        <w:rPr>
          <w:sz w:val="20"/>
          <w:szCs w:val="20"/>
          <w:color w:val="auto"/>
        </w:rPr>
      </w:pPr>
      <w:r>
        <w:rPr>
          <w:rFonts w:ascii="Arial" w:cs="Arial" w:eastAsia="Arial" w:hAnsi="Arial"/>
          <w:sz w:val="18"/>
          <w:szCs w:val="18"/>
          <w:color w:val="auto"/>
        </w:rPr>
        <w:t>Our actual or perceived failure to adequately comply with applicable laws, regulations, policies, contracts and other obligations relating to data privacy and security, or to protect personal data and other data we process or maintain, could result in regulatory fines and bans on processing personal data,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r>
    </w:p>
    <w:p>
      <w:pPr>
        <w:spacing w:after="0" w:line="18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8"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9"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56"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7"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9"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520" w:firstLine="509"/>
        <w:spacing w:after="0" w:line="308"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quality assurance, safety and pharmacovigilance and related reporting;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8" w:lineRule="exact"/>
        <w:rPr>
          <w:sz w:val="20"/>
          <w:szCs w:val="20"/>
          <w:color w:val="auto"/>
        </w:rPr>
      </w:pPr>
    </w:p>
    <w:p>
      <w:pPr>
        <w:ind w:right="220" w:firstLine="509"/>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280" w:firstLine="509"/>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9"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48" w:name="page49"/>
    <w:bookmarkEnd w:id="48"/>
    <w:p>
      <w:pPr>
        <w:ind w:right="2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28" w:lineRule="exact"/>
        <w:rPr>
          <w:rFonts w:ascii="Arial" w:cs="Arial" w:eastAsia="Arial" w:hAnsi="Arial"/>
          <w:sz w:val="17"/>
          <w:szCs w:val="17"/>
          <w:color w:val="auto"/>
        </w:rPr>
      </w:pPr>
    </w:p>
    <w:p>
      <w:pPr>
        <w:ind w:left="1020" w:right="200" w:hanging="503"/>
        <w:spacing w:after="0" w:line="286"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57" w:lineRule="exact"/>
        <w:rPr>
          <w:rFonts w:ascii="Arial" w:cs="Arial" w:eastAsia="Arial" w:hAnsi="Arial"/>
          <w:sz w:val="17"/>
          <w:szCs w:val="17"/>
          <w:color w:val="auto"/>
        </w:rPr>
      </w:pPr>
    </w:p>
    <w:p>
      <w:pPr>
        <w:ind w:left="1020" w:right="160" w:hanging="503"/>
        <w:spacing w:after="0" w:line="308"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ind w:left="1020" w:hanging="503"/>
        <w:spacing w:after="0" w:line="34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20" w:right="60" w:hanging="503"/>
        <w:spacing w:after="0" w:line="286"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7" w:lineRule="exact"/>
        <w:rPr>
          <w:rFonts w:ascii="Arial" w:cs="Arial" w:eastAsia="Arial" w:hAnsi="Arial"/>
          <w:sz w:val="17"/>
          <w:szCs w:val="17"/>
          <w:color w:val="auto"/>
        </w:rPr>
      </w:pPr>
    </w:p>
    <w:p>
      <w:pPr>
        <w:ind w:left="1020" w:right="3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28" w:lineRule="exact"/>
        <w:rPr>
          <w:rFonts w:ascii="Arial" w:cs="Arial" w:eastAsia="Arial" w:hAnsi="Arial"/>
          <w:sz w:val="17"/>
          <w:szCs w:val="17"/>
          <w:color w:val="auto"/>
        </w:rPr>
      </w:pPr>
    </w:p>
    <w:p>
      <w:pPr>
        <w:ind w:left="1020" w:right="3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rFonts w:ascii="Arial" w:cs="Arial" w:eastAsia="Arial" w:hAnsi="Arial"/>
          <w:sz w:val="18"/>
          <w:szCs w:val="18"/>
          <w:color w:val="auto"/>
        </w:rPr>
      </w:pPr>
    </w:p>
    <w:p>
      <w:pPr>
        <w:ind w:left="1020" w:right="580" w:hanging="503"/>
        <w:spacing w:after="0" w:line="34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1020" w:right="80" w:hanging="503"/>
        <w:spacing w:after="0" w:line="30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key personnel at our collaborators may leave, which could negatively impact our ability to productively work with our collaborators;</w:t>
      </w:r>
    </w:p>
    <w:p>
      <w:pPr>
        <w:spacing w:after="0" w:line="128" w:lineRule="exact"/>
        <w:rPr>
          <w:rFonts w:ascii="Arial" w:cs="Arial" w:eastAsia="Arial" w:hAnsi="Arial"/>
          <w:sz w:val="17"/>
          <w:szCs w:val="17"/>
          <w:color w:val="auto"/>
        </w:rPr>
      </w:pPr>
    </w:p>
    <w:p>
      <w:pPr>
        <w:ind w:left="1020" w:right="7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rFonts w:ascii="Arial" w:cs="Arial" w:eastAsia="Arial" w:hAnsi="Arial"/>
          <w:sz w:val="18"/>
          <w:szCs w:val="18"/>
          <w:color w:val="auto"/>
        </w:rPr>
      </w:pPr>
    </w:p>
    <w:p>
      <w:pPr>
        <w:ind w:left="1020" w:right="9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4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60" w:firstLine="509"/>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1" w:name="page52"/>
    <w:bookmarkEnd w:id="51"/>
    <w:p>
      <w:pPr>
        <w:ind w:right="6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49"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78"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60" w:firstLine="509"/>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if we rely on a different product, its development could involve the use of government funds, which can require additional compliance aspects to make certain all rights are transferred to or remain with us.</w:t>
      </w:r>
    </w:p>
    <w:p>
      <w:pPr>
        <w:spacing w:after="0" w:line="18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8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firstLine="509"/>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7"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20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9"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7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0"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are aware of a number of patents and applications that are directed to one or more aspects of tarcocimab. Our intent is to maintain our development efforts under 35 U.S.C. Section 271(e)(1) (which provides a safe harbor from patent infringement claims related to certain drug development activities) through to at least the launch of any tarcocimab product. As such, we do not intend to launch tarcocimab when any valid patent is still in force. We are aware of at least one pending application with claims that are directed to some aspect of tarcocimab, and that could, if issued, result in a patent term beyond our intended launch date of tarcocimab. If this were to occur, we may challenge the validity of the claims, obtain a license, modify tarcocimab, or delay launch.</w:t>
      </w:r>
    </w:p>
    <w:p>
      <w:pPr>
        <w:spacing w:after="0" w:line="8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non-tarcocimab products would include the following: challenge the validity of the claims, obtain a license, or modify the non-tarcocimab product.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firstLine="509"/>
        <w:spacing w:after="0" w:line="288"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6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right="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3"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cease and desist letters to two companies and filed trademark opposition proceedings against two companies. We were successful in both oppositions.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20" w:right="2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left="1020" w:right="10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1020" w:right="80" w:hanging="503"/>
        <w:spacing w:after="0" w:line="34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spacing w:after="0" w:line="1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As of December 31, 2022, we had 112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76"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8"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60"/>
        <w:spacing w:after="0" w:line="259"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spacing w:after="0" w:line="200" w:lineRule="exact"/>
        <w:rPr>
          <w:sz w:val="20"/>
          <w:szCs w:val="20"/>
          <w:color w:val="auto"/>
        </w:rPr>
      </w:pPr>
    </w:p>
    <w:p>
      <w:pPr>
        <w:spacing w:after="0" w:line="203"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In the ordinary course of our business, we process personal data and other sensitive information, including proprietary and confidential business data, trade secrets, intellectual property, data collected about trial participants in connection with clinical trials, and sensitive third-party data.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p>
    <w:p>
      <w:pPr>
        <w:spacing w:after="0" w:line="84"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including as a result of the ongoing military conflict between Russia and Ukraine and the related sanctions imposed against Russia, we and the third parties upon which we rely may be vulnerable to a heightened risk of these attacks, including cyber-attacks that could materially disrupt our systems and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w:t>
      </w:r>
    </w:p>
    <w:p>
      <w:pPr>
        <w:spacing w:after="0" w:line="6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Additionally, as a result of health epidemics, certain employees may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7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access to our sensitive information, or interruptions or stoppages in our business operations (including our clinical trials).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1" w:name="page62"/>
    <w:bookmarkEnd w:id="61"/>
    <w:p>
      <w:pPr>
        <w:ind w:firstLine="509"/>
        <w:spacing w:after="0" w:line="270" w:lineRule="auto"/>
        <w:rPr>
          <w:sz w:val="20"/>
          <w:szCs w:val="20"/>
          <w:color w:val="auto"/>
        </w:rPr>
      </w:pPr>
      <w:r>
        <w:rPr>
          <w:rFonts w:ascii="Arial" w:cs="Arial" w:eastAsia="Arial" w:hAnsi="Arial"/>
          <w:sz w:val="17"/>
          <w:szCs w:val="17"/>
          <w:color w:val="auto"/>
        </w:rPr>
        <w:t>While we have developed systems and processes designed to protect the integrity, confidentiality and security of the sensitive information under our control, we cannot assure you that our security measures or those of the third parties we depend on will be effective in preventing security incidents. There are many different and rapidly evolving cybercrime and hacking techniques, and we may be unable to anticipate attempted security incidents, identify them before our information is exploited, or react in a timely manner. We may be unable to detect vulnerabilities in our information technology systems and software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73"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Additionally, applicable data protection requirements, including, without limitation, laws, regulations, guidance as well as our internal and external policies and our contractual obligations, may require us to notify relevant stakeholders of security incident,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spacing w:after="0" w:line="6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health epidemics like the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spacing w:after="0" w:line="6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pricing and reimbursement regimes in non-U.S. countries;</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17" w:lineRule="exact"/>
        <w:rPr>
          <w:rFonts w:ascii="Arial" w:cs="Arial" w:eastAsia="Arial" w:hAnsi="Arial"/>
          <w:sz w:val="18"/>
          <w:szCs w:val="18"/>
          <w:color w:val="auto"/>
        </w:rPr>
      </w:pPr>
    </w:p>
    <w:p>
      <w:pPr>
        <w:ind w:left="1020" w:right="220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(including the current Russia-Ukraine conflict) and terrorism or natural disasters.</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80"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Any delay in obtaining, or an inability to obtain, any marketing approvals, would restrict our ability to generate revenue and achieve and sustain profitability.</w:t>
      </w:r>
    </w:p>
    <w:p>
      <w:pPr>
        <w:spacing w:after="0" w:line="53"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are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60" w:firstLine="509"/>
        <w:spacing w:after="0" w:line="271" w:lineRule="auto"/>
        <w:rPr>
          <w:sz w:val="20"/>
          <w:szCs w:val="20"/>
          <w:color w:val="auto"/>
        </w:rPr>
      </w:pPr>
      <w:r>
        <w:rPr>
          <w:rFonts w:ascii="Arial" w:cs="Arial" w:eastAsia="Arial" w:hAnsi="Arial"/>
          <w:sz w:val="17"/>
          <w:szCs w:val="17"/>
          <w:color w:val="auto"/>
        </w:rPr>
        <w:t>Other international, geo-political, and macroeconomic events could also have an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In addition, increasing inflation rates and the responses by central banking authorities to control such inflation have contributed to uncertainty and volatility in U.S. and global markets. Rising inflation rates in the United States have begun to affect businesses across many industries, including ours, by increasing costs of operations such as labor.</w:t>
      </w:r>
    </w:p>
    <w:p>
      <w:pPr>
        <w:spacing w:after="0" w:line="70"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business, financial condition, and ability to attain profitable operations.</w:t>
      </w:r>
    </w:p>
    <w:p>
      <w:pPr>
        <w:spacing w:after="0" w:line="170" w:lineRule="exact"/>
        <w:rPr>
          <w:sz w:val="20"/>
          <w:szCs w:val="20"/>
          <w:color w:val="auto"/>
        </w:rPr>
      </w:pPr>
    </w:p>
    <w:p>
      <w:pPr>
        <w:jc w:val="both"/>
        <w:ind w:right="620"/>
        <w:spacing w:after="0" w:line="375" w:lineRule="auto"/>
        <w:rPr>
          <w:sz w:val="20"/>
          <w:szCs w:val="20"/>
          <w:color w:val="auto"/>
        </w:rPr>
      </w:pPr>
      <w:r>
        <w:rPr>
          <w:rFonts w:ascii="Arial" w:cs="Arial" w:eastAsia="Arial" w:hAnsi="Arial"/>
          <w:sz w:val="15"/>
          <w:szCs w:val="15"/>
          <w:b w:val="1"/>
          <w:bCs w:val="1"/>
          <w:i w:val="1"/>
          <w:iCs w:val="1"/>
          <w:color w:val="auto"/>
        </w:rPr>
        <w:t>Our business could be materially and adversely affected in the future by the effects of disease outbreaks, epidemics and pandemics, such as the COVID-19 pandemic, as well as the business or operations of our manufacturers, CROs or other third parties with whom we conduct business.</w:t>
      </w:r>
    </w:p>
    <w:p>
      <w:pPr>
        <w:spacing w:after="0" w:line="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 For example, in March 2020, the World Health Organization declared the COVID-19 outbreak a pandemic. In response, we delayed initiation of the next set of tarcocimab pivotal studies by one quarter from June to September 2020 in order to assess how best to minimize the impact of COVID-19 on clinical trial conduct. We implemented and continued with various enhancements to our ongoing study execution to help ensure the safety of patients, physicians, study site staff and Kodiak operations team members during the COVID-19 pandemic, including the use of remote study monitoring.</w:t>
      </w:r>
    </w:p>
    <w:p>
      <w:pPr>
        <w:spacing w:after="0" w:line="5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COVID-19 pandemic continues to unfold and we will continue to monitor our operations in response. We continue to observe government recommendations.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 As we work towards commercial scale-up and manufacturing activities to support BLA submission, there is competition with COVID-19 vaccine and therapeutic programs for manufacturing related (i) materials such as resins, filters, sterile tube sets, pipette tips; (ii) personnel such as facility engineering and construction as well as plant engineers and workers; and (iii) production slots in cGMP facilities.</w:t>
      </w:r>
    </w:p>
    <w:p>
      <w:pPr>
        <w:spacing w:after="0" w:line="6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ultimate impact of the COVID-19 outbreak or a similar health epidemic is highly uncertain and subject to change.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4" w:name="page65"/>
    <w:bookmarkEnd w:id="64"/>
    <w:p>
      <w:pPr>
        <w:ind w:right="80" w:firstLine="509"/>
        <w:spacing w:after="0" w:line="255" w:lineRule="auto"/>
        <w:rPr>
          <w:sz w:val="20"/>
          <w:szCs w:val="20"/>
          <w:color w:val="auto"/>
        </w:rPr>
      </w:pPr>
      <w:r>
        <w:rPr>
          <w:rFonts w:ascii="Arial" w:cs="Arial" w:eastAsia="Arial" w:hAnsi="Arial"/>
          <w:sz w:val="18"/>
          <w:szCs w:val="18"/>
          <w:color w:val="auto"/>
        </w:rPr>
        <w:t>The extent to which the risks and evolving effects of health epidemics like the COVID-19 pandemic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As of December 31, 2022, the Company had $68.7 million of federal and $614.9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7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U.S. federal tax legislation enacted in 2017, informally titled The Tax Cuts and Jobs Act (the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Inflation Reduction Act of 2022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and global economic conditions could adversely affect our business, financial condition or results of operations</w:t>
      </w:r>
      <w:r>
        <w:rPr>
          <w:rFonts w:ascii="Arial" w:cs="Arial" w:eastAsia="Arial" w:hAnsi="Arial"/>
          <w:sz w:val="15"/>
          <w:szCs w:val="15"/>
          <w:b w:val="1"/>
          <w:bCs w:val="1"/>
          <w:i w:val="1"/>
          <w:iCs w:val="1"/>
          <w:color w:val="auto"/>
        </w:rPr>
        <w:t>.</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health epidemics, component shortages and related supply chain challenges, geopolitical developments such as the conflict between Ukraine and Russia and related sanctions,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spacing w:after="0" w:line="84"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5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On March 10, 2023, Silicon Valley Bank (“SVB”) was closed by the California Department of Financial Protection and Innovation, which appointed the FDIC as receiver. Subsequently, the U.S. Treasury, Federal Reserve and FDIC announced that SVB depositors would have access to all of their money. We have a banking relationship with SVB and hold cash in SVB depository accounts to cover short-term operational payments. While we have not experienced any losses in such accounts, the recent failure of SVB caused us to utilize our accounts at other financial institutions in order to mitigate potential operational risks stemming from the temporary inability to access funds in our SVB operating accounts. As a result of bank failures, such as SVB, our access to funding sources in amounts adequate to finance or capitalize our current and projected future business operations could be significantly impaired and could negatively impact the financial institutions with which we have direct arrangements, or the financial services industry or economy in general.</w:t>
      </w:r>
    </w:p>
    <w:p>
      <w:pPr>
        <w:spacing w:after="0" w:line="84"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Russia-Ukraine conflict and related sanctions has contributed to rapidly rising costs of living (driven largely by higher energy prices) in Europe and other advanced economies.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64"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6" w:name="page67"/>
    <w:bookmarkEnd w:id="66"/>
    <w:p>
      <w:pPr>
        <w:ind w:right="200"/>
        <w:spacing w:after="0" w:line="277" w:lineRule="auto"/>
        <w:rPr>
          <w:sz w:val="20"/>
          <w:szCs w:val="20"/>
          <w:color w:val="auto"/>
        </w:rPr>
      </w:pPr>
      <w:r>
        <w:rPr>
          <w:rFonts w:ascii="Arial" w:cs="Arial" w:eastAsia="Arial" w:hAnsi="Arial"/>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tarcocimab,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We have incurred net losses in each reporting period since our inception, including net losses of $333.8 million, $267.0 million and $133.1 million for the years ended December 31, 2022, 2021 and 2020, respectively. As of December 31, 2022, we had an accumulated deficit of $892.0 million.</w:t>
      </w:r>
    </w:p>
    <w:p>
      <w:pPr>
        <w:spacing w:after="0" w:line="1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3"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current and any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 including tarcocimab;</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ind w:right="38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1020" w:right="860" w:hanging="503"/>
        <w:spacing w:after="0" w:line="342"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15"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ind w:firstLine="509"/>
        <w:spacing w:after="0" w:line="254"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Our operations have required substantial amounts of cash since inception. To date, we have funded our operations primarily through the sale of equity securities. Developing our product candidates is expensive, and we expect to continue our spending as we conduct the Phase 3 clinical trials for our tarcocimab product candidate and build manufacturing capacity. Even if we are successful in developing our product candidates, obtaining regulatory approvals and launching and commercializing any product candidate will require substantial additional funding.</w:t>
      </w:r>
    </w:p>
    <w:p>
      <w:pPr>
        <w:spacing w:after="0" w:line="63"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80"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will require additional capital for the further development and, if approved, commercialization of our product candidates. Additional capital may not be available when we need it, on terms acceptable to us or at all. For example, the COVID-19 pandemic significantly disrupted world financial markets, negatively impacted US market conditions, increased the volatility of trading prices for biopharmaceutical companies, and may have reduced opportunities for us to seek out additional funding when needed. Similarly, the current Russia-Ukraine conflict has created extreme volatility in the global capital markets and is expected to have further global economic consequences, including disruptions of the global supply chain. Further, inflation rates, particularly in the United States, have increased recently to levels not seen in decades, and the Federal Reserve has raised, and may again raise, interest rates. These conditions of economic uncertainty and market volatility could limit additional capital available to us, if and when needed.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SVB.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20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 may impact our financial position and results</w:t>
      </w:r>
    </w:p>
    <w:p>
      <w:pPr>
        <w:spacing w:after="0" w:line="117" w:lineRule="exact"/>
        <w:rPr>
          <w:sz w:val="20"/>
          <w:szCs w:val="20"/>
          <w:color w:val="auto"/>
        </w:rPr>
      </w:pPr>
    </w:p>
    <w:p>
      <w:pPr>
        <w:jc w:val="both"/>
        <w:ind w:right="220" w:firstLine="509"/>
        <w:spacing w:after="0" w:line="279" w:lineRule="auto"/>
        <w:rPr>
          <w:sz w:val="20"/>
          <w:szCs w:val="20"/>
          <w:color w:val="auto"/>
        </w:rPr>
      </w:pPr>
      <w:r>
        <w:rPr>
          <w:rFonts w:ascii="Arial" w:cs="Arial" w:eastAsia="Arial" w:hAnsi="Arial"/>
          <w:sz w:val="17"/>
          <w:szCs w:val="17"/>
          <w:color w:val="auto"/>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r>
        <w:rPr>
          <w:rFonts w:ascii="Arial" w:cs="Arial" w:eastAsia="Arial" w:hAnsi="Arial"/>
          <w:sz w:val="17"/>
          <w:szCs w:val="17"/>
          <w:b w:val="1"/>
          <w:bCs w:val="1"/>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market price of our common stock may be volatile. For example, the closing price of our common stock from December 31, 2021 to December 31, 2022 ranged from a low of $5.04 to a high of $89.45 and from January 1, 2023 to February 28, 2023, ranged from a low of $6.50 to a high of $8.89. As a result, you may not be able to sell your common stock at or above the price that you paid for such shares. Some of the factors that may cause the market price of our common stock to fluctuate include:</w:t>
      </w:r>
    </w:p>
    <w:p>
      <w:pPr>
        <w:spacing w:after="0" w:line="79"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and results of clinical trials for our current product candidates and any future product candidates that we may develop;</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ind w:left="503" w:hanging="503"/>
        <w:spacing w:after="0"/>
        <w:tabs>
          <w:tab w:leader="none" w:pos="50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40" w:lineRule="exact"/>
        <w:rPr>
          <w:rFonts w:ascii="Arial" w:cs="Arial" w:eastAsia="Arial" w:hAnsi="Arial"/>
          <w:sz w:val="16"/>
          <w:szCs w:val="16"/>
          <w:color w:val="auto"/>
        </w:rPr>
      </w:pPr>
    </w:p>
    <w:p>
      <w:pPr>
        <w:ind w:left="503" w:hanging="503"/>
        <w:spacing w:after="0"/>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503" w:hanging="503"/>
        <w:spacing w:after="0" w:line="279" w:lineRule="auto"/>
        <w:tabs>
          <w:tab w:leader="none" w:pos="503" w:val="left"/>
        </w:tabs>
        <w:numPr>
          <w:ilvl w:val="0"/>
          <w:numId w:val="44"/>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fluctuations attributable to health epidemics, the current inflationary environment, lowered consumer confidence, bank failures, the recent Russian invasion of Ukraine, as well as continued and any new sanctions against Russia by, among others, the United States and the European Union, which restrict a wide range of trade and financial dealings with Russia and Russia parties, and other unforeseeable circumstances; and</w:t>
      </w:r>
    </w:p>
    <w:p>
      <w:pPr>
        <w:spacing w:after="0" w:line="63" w:lineRule="exact"/>
        <w:rPr>
          <w:rFonts w:ascii="Arial" w:cs="Arial" w:eastAsia="Arial" w:hAnsi="Arial"/>
          <w:sz w:val="17"/>
          <w:szCs w:val="17"/>
          <w:color w:val="auto"/>
        </w:rPr>
      </w:pPr>
    </w:p>
    <w:p>
      <w:pPr>
        <w:ind w:left="503" w:hanging="503"/>
        <w:spacing w:after="0"/>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00" w:lineRule="exact"/>
        <w:rPr>
          <w:sz w:val="20"/>
          <w:szCs w:val="20"/>
          <w:color w:val="auto"/>
        </w:rPr>
      </w:pPr>
    </w:p>
    <w:p>
      <w:pPr>
        <w:spacing w:after="0" w:line="241" w:lineRule="exact"/>
        <w:rPr>
          <w:sz w:val="20"/>
          <w:szCs w:val="20"/>
          <w:color w:val="auto"/>
        </w:rPr>
      </w:pPr>
    </w:p>
    <w:p>
      <w:pPr>
        <w:jc w:val="center"/>
        <w:ind w:right="37"/>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3"/>
          </w:cols>
          <w:pgMar w:left="837" w:top="449" w:right="799" w:bottom="1440" w:gutter="0" w:footer="0" w:header="0"/>
        </w:sectPr>
      </w:pPr>
    </w:p>
    <w:bookmarkStart w:id="71" w:name="page72"/>
    <w:bookmarkEnd w:id="71"/>
    <w:p>
      <w:pPr>
        <w:ind w:right="220" w:firstLine="509"/>
        <w:spacing w:after="0" w:line="287"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such as that resulting from the conflict between Russia and Ukraine,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interest rate increases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9"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17"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8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57"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As a public company, we are subject to reporting and other obligations under the Exchange Act, including the requirements of the Sarbanes-Oxley Act of 2002 ("SOX") Section 404, which require annual management assessments of the effectiveness of our internal control over financial reporting.</w:t>
      </w:r>
    </w:p>
    <w:p>
      <w:pPr>
        <w:spacing w:after="0" w:line="16" w:lineRule="exact"/>
        <w:rPr>
          <w:sz w:val="20"/>
          <w:szCs w:val="20"/>
          <w:color w:val="auto"/>
        </w:rPr>
      </w:pPr>
    </w:p>
    <w:p>
      <w:pPr>
        <w:jc w:val="both"/>
        <w:ind w:right="260" w:firstLine="509"/>
        <w:spacing w:after="0" w:line="287"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jc w:val="both"/>
        <w:ind w:right="260"/>
        <w:spacing w:after="0" w:line="260"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7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Our corporate offices are located in Palo Alto, California, where we lease approximately 155,000 square feet of office, research and development, engineering and laboratory space pursuant to lease agreements commencing in June 2020. The initial lease term for 1200 Page Mill Road is 6.5 years and 13 years for 1250 Page Mill Road.</w:t>
      </w:r>
    </w:p>
    <w:p>
      <w:pPr>
        <w:spacing w:after="0" w:line="76"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We continue to lease office and laboratory space at 2631 Hanover Street in Palo Alto, California, which commenced in January 2013. In March 2016, we executed a third lease amendment agreement that became effective March 31, 2016 and extended the lease term until October 31, 2023. The facilities in Palo Alto, California houses substantially all of our personnel.</w:t>
      </w:r>
    </w:p>
    <w:p>
      <w:pPr>
        <w:spacing w:after="0" w:line="76"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In April 2020, we entered into a lease agreement for office and laboratory space at Rottenstrasse 5 in Visp, Switzerland. The space is approximately 1,000 square meters. The initial lease term is 5 years, with automatic renewals every 5 years for a maximum lease term of 15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75" w:name="page76"/>
    <w:bookmarkEnd w:id="75"/>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trades on the Nasdaq Global Market under the trading symbol “KOD”.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As of February 28, 2023, there were approximately 22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cash dividends in the foreseeable future.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37" w:right="5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included elsewhere in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Kodiak Sciences (“we” or the “Company”) is a biopharmaceutical company committed to researching, developing and commercializing transformative therapeutics to treat high prevalence retinal diseases. Founded in 2009, we are focused on bringing new science to the design and manufacture of next generation retinal medicines to prevent and treat the leading causes of blindness globally. Our ABC Platform™ uses molecular engineering to merge the fields of antibody-based and chemistry-based therapies and is at the core of Kodiak's discovery engine. Kodiak's lead product candidate, tarcocimab, is a novel anti-VEGF antibody biopolymer conjugate being developed for the treatment of retinal vascular diseases including diabetic eye diseases, the leading cause of blindness in working-age patients in the developed world, and wet age-related macular degeneration, the leading cause of blindness in elderly patients in the developed world. Kodiak has leveraged its ABC Platform to build a pipeline of product candidates in various stages of development. KSI-501 is our dual inhibitor antibody biopolymer conjugate targeting both VEGF (VEGF-trap) and IL-6 (anti-IL-6 antibody) for the treatment of retinal diseases. We are progressing our early research pipeline to include ABC Platform based triplet inhibitors for multifactorial retinal diseases such as dry AMD and glaucoma.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Tarcocimab Clinical Program Update</w:t>
      </w:r>
    </w:p>
    <w:p>
      <w:pPr>
        <w:spacing w:after="0" w:line="121" w:lineRule="exact"/>
        <w:rPr>
          <w:sz w:val="20"/>
          <w:szCs w:val="20"/>
          <w:color w:val="auto"/>
        </w:rPr>
      </w:pPr>
    </w:p>
    <w:p>
      <w:pPr>
        <w:jc w:val="both"/>
        <w:ind w:right="260" w:firstLine="509"/>
        <w:spacing w:after="0" w:line="255" w:lineRule="auto"/>
        <w:rPr>
          <w:sz w:val="20"/>
          <w:szCs w:val="20"/>
          <w:color w:val="auto"/>
        </w:rPr>
      </w:pPr>
      <w:r>
        <w:rPr>
          <w:rFonts w:ascii="Arial" w:cs="Arial" w:eastAsia="Arial" w:hAnsi="Arial"/>
          <w:sz w:val="18"/>
          <w:szCs w:val="18"/>
          <w:color w:val="auto"/>
        </w:rPr>
        <w:t>Looking across the development program for tarcocimab, we have four Phase 3 studies ongoing, namely our paired Phase 3 studies GLEAM and GLIMMER in diabetic macular edema (“DME“</w:t>
      </w:r>
      <w:r>
        <w:rPr>
          <w:rFonts w:ascii="Arial" w:cs="Arial" w:eastAsia="Arial" w:hAnsi="Arial"/>
          <w:sz w:val="19"/>
          <w:szCs w:val="19"/>
          <w:color w:val="auto"/>
        </w:rPr>
        <w:t>)</w:t>
      </w:r>
      <w:r>
        <w:rPr>
          <w:rFonts w:ascii="Arial" w:cs="Arial" w:eastAsia="Arial" w:hAnsi="Arial"/>
          <w:sz w:val="18"/>
          <w:szCs w:val="18"/>
          <w:color w:val="auto"/>
        </w:rPr>
        <w:t>, Phase 3 study DAYLIGHT in wet age-related macular degeneration (“wet AMD”</w:t>
      </w:r>
      <w:r>
        <w:rPr>
          <w:rFonts w:ascii="Arial" w:cs="Arial" w:eastAsia="Arial" w:hAnsi="Arial"/>
          <w:sz w:val="19"/>
          <w:szCs w:val="19"/>
          <w:color w:val="auto"/>
        </w:rPr>
        <w:t>)</w:t>
      </w:r>
      <w:r>
        <w:rPr>
          <w:rFonts w:ascii="Arial" w:cs="Arial" w:eastAsia="Arial" w:hAnsi="Arial"/>
          <w:sz w:val="18"/>
          <w:szCs w:val="18"/>
          <w:color w:val="auto"/>
        </w:rPr>
        <w:t xml:space="preserve"> and Phase 3 study GLOW in non-proliferative diabetic retinopathy (“NPDR”) without DME. All the studies are fully enrolled and expected to read out topline data in the third quarter of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GLEAM / GLIMMER – Paired Phase 3 Studies in Patients with Treatment-Naïve Diabetic Macular Edema</w:t>
      </w:r>
    </w:p>
    <w:p>
      <w:pPr>
        <w:spacing w:after="0" w:line="117"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The Phase 3 GLEAM and GLIMMER studies are global, multi-center, randomized pivotal studies designed to evaluate the durability, efficacy and safety of tarcocimab in patients with treatment-naïve DME. In each study, patients are randomized 1:1 to receive either tarcocimab or aflibercept. The tarcocimab arm is treated with a proactive, individualized dosing regimen of every 8-, 12-, 16-, 20- or 24 weeks after three monthly loading doses. The aflibercept arm is treated with a fixed dosing regimen of every 8-weeks after five monthly loading doses, per its label. Both studies completed enrollment of approximately 450 patients each worldwide in the first quarter of 2022. The primary endpoint for both studies is at year one. We expect to announce topline data from these studies in the third quarter of 2023 (expected July). If successful, we expect that data from our GLEAM and GLIMMER studies will serve as the primary basis for regulatory approval of tarcocimab.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GLOW – Phase 3 Study in Patients with Non-Proliferative Diabetic Retinopathy without DME</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Phase 3 GLOW study is a global, multi-center, randomized pivotal superiority study designed to evaluate the efficacy and safety of tarcocimab in treatment-naïve, moderately severe to severe NPDR without DME. Patients are randomized to receive either tarcocimab every six months after initiating doses given at baseline, 8 weeks and 20 weeks into the study, or to receive sham injections. The primary endpoint is at one year. Outcomes include changes in diabetic retinopathy severity, measured on a standardized photographic grading scale, and the rate of development of sight-threatening complications due to diabetic retinopathy. We believe tarcocimab has the potential to be the longest-interval intravitreal therapeutic option for patients with diabetic retinopathy. GLOW completed enrollment of approximately 240 patients in August 2022, and we expect to announce topline data from this study in the third quarter of 2023.</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DAYLIGHT – Phase 3 Study in Patients with Treatment-Naïve Wet AMD</w:t>
      </w:r>
    </w:p>
    <w:p>
      <w:pPr>
        <w:spacing w:after="0" w:line="117"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color w:val="auto"/>
        </w:rPr>
        <w:t>The Phase 3 DAYLIGHT study is a global, multi-center, randomized pivotal study designed to evaluate the efficacy and safety of high-frequency tarcocimab in patients with treatment-naïve wet AMD. Patients are randomized to receive either tarcocimab on a monthly dosing regimen or to receive standard-of-care aflibercept on a fixed dosing regimen of every 8-weeks after three monthly loading doses per its label. The primary endpoint is at year one. The DAYLIGHT study is intended to demonstrate the efficacy of tarcocimab to treat high need patients with wet AMD. DAYLIGHT has completed enrollment of approximately 550 patients worldwide, and we expect to announce topline data from this study in the third quarter of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Tarcocimab Manufacturing</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August 2020, we and our wholly-owned subsidiary Kodiak Sciences GmbH entered into a manufacturing agreement with Lonza Ltd (“Lonza”) for the clinical and commercial supply of drug substance for tarcocimab. The manufacturing agreement has an initial term of eight years, and Kodiak has the right to extend the term up to a total of 16 years. Kodiak and Lonza each has the ability to terminate this agreement upon the occurrence of certain conditions. Under the agreement, Kodiak and Lonza planned a custom-built facility (“Ursus”) dedicated to the commercial-scale manufacturing of Kodiak’s drug substance. In March 2022, the Ursus facility achieved mechanical completion. In May 2022, we announced the grand opening of this facility together with Lonza. The facility was commissioned as a cGMP facility in January 2023, and we began the manufacturing of commercial-scale cGMP batches in the first quarter of 2023.</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KSI-501 Program Update</w:t>
      </w:r>
    </w:p>
    <w:p>
      <w:pPr>
        <w:spacing w:after="0" w:line="117" w:lineRule="exact"/>
        <w:rPr>
          <w:sz w:val="20"/>
          <w:szCs w:val="20"/>
          <w:color w:val="auto"/>
        </w:rPr>
      </w:pPr>
    </w:p>
    <w:p>
      <w:pPr>
        <w:ind w:right="60" w:firstLine="509"/>
        <w:spacing w:after="0" w:line="287" w:lineRule="auto"/>
        <w:rPr>
          <w:sz w:val="20"/>
          <w:szCs w:val="20"/>
          <w:color w:val="auto"/>
        </w:rPr>
      </w:pPr>
      <w:r>
        <w:rPr>
          <w:rFonts w:ascii="Arial" w:cs="Arial" w:eastAsia="Arial" w:hAnsi="Arial"/>
          <w:sz w:val="15"/>
          <w:szCs w:val="15"/>
          <w:color w:val="auto"/>
        </w:rPr>
        <w:t>I</w:t>
      </w:r>
      <w:r>
        <w:rPr>
          <w:rFonts w:ascii="Arial" w:cs="Arial" w:eastAsia="Arial" w:hAnsi="Arial"/>
          <w:sz w:val="16"/>
          <w:szCs w:val="16"/>
          <w:color w:val="auto"/>
        </w:rPr>
        <w:t>n 2022, we broadened our development pipeline of product candidates built on our ABC Platform with the filing of the Investigational New Drug</w:t>
      </w:r>
      <w:r>
        <w:rPr>
          <w:rFonts w:ascii="Arial" w:cs="Arial" w:eastAsia="Arial" w:hAnsi="Arial"/>
          <w:sz w:val="15"/>
          <w:szCs w:val="15"/>
          <w:color w:val="auto"/>
        </w:rPr>
        <w:t xml:space="preserve"> </w:t>
      </w:r>
      <w:r>
        <w:rPr>
          <w:rFonts w:ascii="Arial" w:cs="Arial" w:eastAsia="Arial" w:hAnsi="Arial"/>
          <w:sz w:val="16"/>
          <w:szCs w:val="16"/>
          <w:color w:val="auto"/>
        </w:rPr>
        <w:t>(IND) application for KSI-501. KSI-501 is an investigational, first-in-class bispecific ABC that is designed to inhibit two mechanisms implicated in retinal diseases: vascular endothelial growth factor (VEGF) and interleukin-6 (IL-6). IL-6 is a pro-inflammatory cytokine and growth factor implicated in the pathophysiology of multiple retinal diseases and, in conditions for which anti-VEGF treatment is used, elevated levels of ocular IL-6 have been associated with poor anti-VEGF treatment response. KSI-501 is a trap-antibody fusion biopolymer conjugate designed to provide potent inhibition of (i) VEGF-mediated angiogenesis and vascular permeability through a soluble decoy receptor inhibiting the binding of VEGF-A and PLGF to their cognate receptors and (ii) IL-6 mediated inflammation through an antibody that binds soluble interleukin-6, inhibiting its binding to both soluble and membrane-bound IL-6 receptors. In preclinical studies KSI-501 was found to inhibit angiogenesis and also normalize inner and outer blood retinal barriers in primary-cell assays. Dual inhibition of VEGF and IL-6 by KSI-501 confers superior normalization of cell morphology and junctional biology compared to either anti-VEGF or anti-IL-6 monotherapy in cell-based assays. We believe KSI-501 has the potential to become a new category of retinal medicines with greater therapeutic efficacy than existing therapies while also benefiting from the promising long-interval durability of Kodiak’s ABC Platform. The IND for KSI-501 has been cleared by the FDA, and the Phase 1 study in diabetic macular edema (DME) patients is now screening patients.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Platform Development</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We continued progressing our technology development with our “triplet” platform. The triplet science is designed to bring our phosphorylcholine-based biopolymer, the central tenet of our ABC Platform, together with many hundreds of copies of small molecules chemically embedded in that biopolymer, which is conjugated to an antibody therapeutic. We believe this new antibody conjugate drug format offers broad and important utility for multifactorial ophthalmic diseases and also has significant relevance for systemic diseases. We continue to advance our triplet platform towards its initial therapeutic concepts.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Digital Health Platform Development</w:t>
      </w:r>
    </w:p>
    <w:p>
      <w:pPr>
        <w:spacing w:after="0" w:line="117"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We are developing a visual engagement technology and imager (“VETi”) designed by Kodiak engineers initially to be used by eye care professionals for vision and ophthalmic anatomical examination, diagnosis and monitoring. Our longer-term goal with VETi, built with semiconductor technologies, is to deliver a wearable device for long-term health engagement and monitoring.</w:t>
      </w:r>
    </w:p>
    <w:p>
      <w:pPr>
        <w:spacing w:after="0" w:line="76"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Importantly, we also believe the Kodiak VETi platform as a medical engagement and imaging platform has the potential to disrupt ophthalmology clinical trials by enabling new trial endpoints, thereby enabling faster and more cost-effective medicines development in ophthalmic disease, an area that historically requires lengthy and expensive trials. VETi may also aid in market build and shaping for undertreated or underdiagnosed diseases, such as diabetic eye diseases where Kodiak’s product candidates tarcocimab and KSI-501 are being studied and where early treatment and prevention may allow patients to achieve better outcomes.</w:t>
      </w:r>
    </w:p>
    <w:p>
      <w:pPr>
        <w:spacing w:after="0" w:line="8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VETi platform is expected to begin pilot clinical testing mid-2023 to gather initial user input for continued innovation in the design and build of this new hardware and software platform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high prevalence retinal diseases.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continue to invest in commercial manufacturing capacity. We do not have any products approved for sale and have not generated any product revenue since inception.</w:t>
      </w:r>
    </w:p>
    <w:p>
      <w:pPr>
        <w:spacing w:after="0" w:line="84" w:lineRule="exact"/>
        <w:rPr>
          <w:sz w:val="20"/>
          <w:szCs w:val="20"/>
          <w:color w:val="auto"/>
        </w:rPr>
      </w:pPr>
    </w:p>
    <w:p>
      <w:pPr>
        <w:ind w:right="560" w:firstLine="509"/>
        <w:spacing w:after="0" w:line="308" w:lineRule="auto"/>
        <w:rPr>
          <w:sz w:val="20"/>
          <w:szCs w:val="20"/>
          <w:color w:val="auto"/>
        </w:rPr>
      </w:pPr>
      <w:r>
        <w:rPr>
          <w:rFonts w:ascii="Arial" w:cs="Arial" w:eastAsia="Arial" w:hAnsi="Arial"/>
          <w:sz w:val="17"/>
          <w:szCs w:val="17"/>
          <w:color w:val="auto"/>
        </w:rPr>
        <w:t>We have funded our operations primarily through the sale and issuance of equity securities. In October 2018, we completed our initial public offering, or IPO. In December 2019, we completed a follow-on offering. In November 2020, we completed a second follow-on offering.</w:t>
      </w:r>
    </w:p>
    <w:p>
      <w:pPr>
        <w:spacing w:after="0" w:line="38"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We have incurred significant operating losses to date and expect that our operating losses will increase significantly as we advance our product candidates, particularly tarcocimab,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We expect to continue to incur additional costs associated with operating as a public company. Our net loss was $333.8 million, $267.0 million and $133.1 million for the years ended December 31, 2022, 2021 and 2020, respectively. As of December 31, 2022, we had an accumulated deficit of $892.0 million.</w:t>
      </w:r>
    </w:p>
    <w:p>
      <w:pPr>
        <w:spacing w:after="0" w:line="7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tarcocimab for wet AMD, RVO, DME or NPDR or delay our efforts to advance and expand our product pipeline.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we had cash, cash equivalents and marketable securities of $478.9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0" w:name="page81"/>
    <w:bookmarkEnd w:id="80"/>
    <w:p>
      <w:pPr>
        <w:ind w:right="180" w:firstLine="509"/>
        <w:spacing w:after="0" w:line="271"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tarcocimab. We expect our research and development expenses to increase substantially during the next few years as we conduct our Phase 3 clinical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6"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Securities and Exchange Commission, or SEC, investor relations costs and director and officer insurance premiums associated with being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Other income (expense), net consists primarily of settlement of derivative contracts, net of tax provisions and amortized issuance costs from the liability related to the future sale of royalties to BBA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 except percentages):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2022 vs 2021</w:t>
            </w: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6"/>
              </w:rPr>
              <w:t>Change</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Dollar</w:t>
            </w: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Percent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267,591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217,340</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107,389</w:t>
            </w:r>
          </w:p>
        </w:tc>
        <w:tc>
          <w:tcPr>
            <w:tcW w:w="1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50,251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2"/>
        </w:trPr>
        <w:tc>
          <w:tcPr>
            <w:tcW w:w="41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73,788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49,711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28,618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24,077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(341,379 )</w:t>
            </w:r>
          </w:p>
        </w:tc>
        <w:tc>
          <w:tcPr>
            <w:tcW w:w="1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(267,051 )</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(136,007 )</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(74,328 )</w:t>
            </w: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9"/>
        </w:trPr>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(47 )</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(25 )</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(190 )</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(30 )</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(333,823 )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(266,990 )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(133,096 )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(66,833 )</w:t>
            </w: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316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-187960</wp:posOffset>
            </wp:positionV>
            <wp:extent cx="7747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7747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-187960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Change is not meaningful</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increased $50.3 million, or 23%, during the year ended December 31, 2022 as compared to 2021.</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w w:val="98"/>
              </w:rPr>
              <w:t>2022 vs 2021</w:t>
            </w: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December 31,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62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9"/>
        </w:trPr>
        <w:tc>
          <w:tcPr>
            <w:tcW w:w="42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Dollar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Tarcocimab program expenses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132,953</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137,849</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KSI-501 program expenses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ABC Platform and other program expenses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Payroll and personnel expenses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51,171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30,434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Facilities and other research and development</w:t>
            </w:r>
          </w:p>
        </w:tc>
        <w:tc>
          <w:tcPr>
            <w:tcW w:w="320" w:type="dxa"/>
            <w:vAlign w:val="bottom"/>
            <w:shd w:val="clear" w:color="auto" w:fill="CFF0FC"/>
          </w:tcPr>
          <w:p>
            <w:pPr>
              <w:spacing w:after="0"/>
              <w:rPr>
                <w:sz w:val="19"/>
                <w:szCs w:val="19"/>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20,951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12,437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267,591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217,340</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107,389</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50,251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-187960</wp:posOffset>
            </wp:positionV>
            <wp:extent cx="7747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-187960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Tarcocimab program expenses decreased $4.9 million during the year ended December 31, 2022 as compared to 2021, primarily driven by the maturation of the tarcocimab clinical program and timing of manufacturing activities. We expect to read out topline data in the third quarter of 2023 for our paired long-interval Phase 3 studies GLEAM and GLIMMER in DME, short-interval Phase 3 study DAYLIGHT in wet AMD and prevention and treatment Phase 3 study GLOW in NPDR without DME, which are fully enrolled and have been designed to broaden tarcocimab’s product labeling.</w:t>
      </w:r>
    </w:p>
    <w:p>
      <w:pPr>
        <w:spacing w:after="0" w:line="4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KSI-501 program expenses increased $2.4 million during the year ended December 31, 2022 as compared to 2021, primarily due to manufacturing activities for KSI-501.</w:t>
      </w:r>
    </w:p>
    <w:p>
      <w:pPr>
        <w:spacing w:after="0" w:line="62"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ABC Platform external expenses increased $16.1 million during the year ended December 31, 2022 as compared to 2021, primarily driven by manufacturing runs to support research and development efforts for our pipeline.</w:t>
      </w:r>
    </w:p>
    <w:p>
      <w:pPr>
        <w:spacing w:after="0" w:line="62"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Payroll and personnel expenses increased $28.1 million during the year ended December 31, 2022 as compared to 2021, primarily due to stock-based compensation expense. We recorded stock-based compensation expense of $36.7 million during the year ended December 31, 2022 relating to the Kodiak 2021 Long-Term Performance Incentive Plan, or LTPIP, as compared to $9.0 million for the year ended December 31, 2021.</w:t>
      </w:r>
    </w:p>
    <w:p>
      <w:pPr>
        <w:spacing w:after="0" w:line="41" w:lineRule="exact"/>
        <w:rPr>
          <w:sz w:val="20"/>
          <w:szCs w:val="20"/>
          <w:color w:val="auto"/>
        </w:rPr>
      </w:pPr>
    </w:p>
    <w:p>
      <w:pPr>
        <w:ind w:right="420" w:firstLine="509"/>
        <w:spacing w:after="0" w:line="308" w:lineRule="auto"/>
        <w:rPr>
          <w:sz w:val="20"/>
          <w:szCs w:val="20"/>
          <w:color w:val="auto"/>
        </w:rPr>
      </w:pPr>
      <w:r>
        <w:rPr>
          <w:rFonts w:ascii="Arial" w:cs="Arial" w:eastAsia="Arial" w:hAnsi="Arial"/>
          <w:sz w:val="17"/>
          <w:szCs w:val="17"/>
          <w:color w:val="auto"/>
        </w:rPr>
        <w:t>Facilities and other research and development expenses increased $8.5 million during the year ended December 31, 2022 as compared to 2021, primarily due to expansion of our Palo Alto facilities and infrastructure, as well as incremental research efforts on our pipeline.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General and administrative expenses increased $24.1 million, or 48%, during the year ended December 31, 2022 as compared to 2021, primarily driven by stock-based compensation expense. We recorded stock-based compensation expense of $28.4 million for the year ended December 31, 2022 relating to the LTPIP, as compared to $6.7 million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340" w:firstLine="509"/>
        <w:spacing w:after="0" w:line="277" w:lineRule="auto"/>
        <w:rPr>
          <w:sz w:val="20"/>
          <w:szCs w:val="20"/>
          <w:color w:val="auto"/>
        </w:rPr>
      </w:pPr>
      <w:r>
        <w:rPr>
          <w:rFonts w:ascii="Arial" w:cs="Arial" w:eastAsia="Arial" w:hAnsi="Arial"/>
          <w:sz w:val="18"/>
          <w:szCs w:val="18"/>
          <w:color w:val="auto"/>
        </w:rPr>
        <w:t>Interest income increased $6.8 million during the year ended December 31, 2022 as compared to 2021, which was mainly attributable to interest income earned on marketable securities invested during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Other income (expense), net increased $0.7 million during the year ended December 31, 2022 as compared to 2021, which was mainly attributable to gain from settlement of foreign currency forward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Fiscal Years Ended December 31, 2021 and 2020</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For a comparison of our results of operations for the fiscal years ended December 31, 2021 and 2020, see “Part II, Item 7. Management’s Discussion and Analysis of Financial Condition and Results of Operations” in our Annual Report on Form 10-K for the fiscal year ended December 31, 2021, filed with the SEC on March 1,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firstLine="509"/>
        <w:spacing w:after="0" w:line="308" w:lineRule="auto"/>
        <w:rPr>
          <w:sz w:val="20"/>
          <w:szCs w:val="20"/>
          <w:color w:val="auto"/>
        </w:rPr>
      </w:pPr>
      <w:r>
        <w:rPr>
          <w:rFonts w:ascii="Arial" w:cs="Arial" w:eastAsia="Arial" w:hAnsi="Arial"/>
          <w:sz w:val="17"/>
          <w:szCs w:val="17"/>
          <w:color w:val="auto"/>
        </w:rPr>
        <w:t>We have funded our operations primarily through the sale and issuance of common stock, redeemable convertible preferred stock, convertible notes, warrants and the sale of royalties. As of December 31, 2022, we had cash, cash equivalents and marketable securities of $478.9 million.</w:t>
      </w:r>
    </w:p>
    <w:p>
      <w:pPr>
        <w:spacing w:after="0" w:line="3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On March 10, 2023, Silicon Valley Bank (“SVB”) was closed by the California Department of Financial Protection and Innovation, which appointed the FDIC as receiver. Subsequently, the U.S. Treasury, Federal Reserve and FDIC announced that SVB depositors would have access to all of their money. We have a banking relationship with SVB and hold cash in SVB depository accounts to cover short-term operational payments. While we have not experienced any losses in such accounts, the recent failure of SVB caused us to utilize our accounts at other financial institutions in order to mitigate potential operational risks stemming from the temporary inability to access funds in our SVB operating accounts. As a result of bank failures, such as SVB, our access to funding sources in amounts adequate to finance or capitalize our current and projected future business operations could be significantly impaired and could negatively impact the financial institutions with which we have direct arrangements, or the financial services industry or economy in general.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incurred net losses since our inception. For the years ended December 31, 2022, 2021 and 2020, we had net losses of $333.8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$267.0 million, and $133.1 million, respectively, and we expect to continue to incur additional losses in future periods. As of December 31, 2022,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accumulated deficit of $892.0 million. We believe that the cash, cash equivalents and marketable securities will be sufficient to meet our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and capital expenditure requirements at least 12 months following the date of this Annual Report on Form 10-K.</w:t>
      </w:r>
    </w:p>
    <w:p>
      <w:pPr>
        <w:spacing w:after="0" w:line="103"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9"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continue incurring additional costs associated with operating as a public company.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3" w:name="page84"/>
    <w:bookmarkEnd w:id="83"/>
    <w:p>
      <w:pPr>
        <w:ind w:right="160" w:firstLine="509"/>
        <w:spacing w:after="0" w:line="277"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760" w:right="40" w:hanging="378"/>
        <w:spacing w:after="0" w:line="27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760" w:right="560" w:hanging="378"/>
        <w:spacing w:after="0" w:line="27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760" w:right="560" w:hanging="378"/>
        <w:spacing w:after="0" w:line="27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58"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significant uncertainties caused by health epidemics, the ongoing conflict in Ukraine, inflation, rising interest rates, bank failures, lower consumer confidence,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p>
    <w:p>
      <w:pPr>
        <w:spacing w:after="0" w:line="53"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titled “Risk Factors” for additional risks associated with our substantial capital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3"/>
          </w:tcPr>
          <w:p>
            <w:pPr>
              <w:ind w:left="880"/>
              <w:spacing w:after="0"/>
              <w:rPr>
                <w:sz w:val="20"/>
                <w:szCs w:val="20"/>
                <w:color w:val="auto"/>
              </w:rPr>
            </w:pPr>
            <w:r>
              <w:rPr>
                <w:rFonts w:ascii="Arial" w:cs="Arial" w:eastAsia="Arial" w:hAnsi="Arial"/>
                <w:sz w:val="18"/>
                <w:szCs w:val="18"/>
                <w:b w:val="1"/>
                <w:bCs w:val="1"/>
                <w:color w:val="auto"/>
              </w:rPr>
              <w:t>Year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5"/>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24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8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(206,459 )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(182,270 )</w:t>
            </w:r>
          </w:p>
        </w:tc>
      </w:tr>
      <w:tr>
        <w:trPr>
          <w:trHeight w:val="24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24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(336,513 )</w:t>
            </w:r>
          </w:p>
        </w:tc>
        <w:tc>
          <w:tcPr>
            <w:tcW w:w="5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(38,798 )</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w:t>
            </w:r>
          </w:p>
        </w:tc>
        <w:tc>
          <w:tcPr>
            <w:tcW w:w="100" w:type="dxa"/>
            <w:vAlign w:val="bottom"/>
          </w:tcPr>
          <w:p>
            <w:pPr>
              <w:spacing w:after="0"/>
              <w:rPr>
                <w:sz w:val="20"/>
                <w:szCs w:val="20"/>
                <w:color w:val="auto"/>
              </w:rPr>
            </w:pPr>
          </w:p>
        </w:tc>
      </w:tr>
      <w:tr>
        <w:trPr>
          <w:trHeight w:val="277"/>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3"/>
              </w:rPr>
              <w:t>Net increase (decrease) in cash, cash equivalents and restricted cash</w:t>
            </w:r>
          </w:p>
        </w:tc>
        <w:tc>
          <w:tcPr>
            <w:tcW w:w="24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(541,077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35"/>
        </w:trPr>
        <w:tc>
          <w:tcPr>
            <w:tcW w:w="5220" w:type="dxa"/>
            <w:vAlign w:val="bottom"/>
          </w:tcPr>
          <w:p>
            <w:pPr>
              <w:spacing w:after="0"/>
              <w:rPr>
                <w:sz w:val="24"/>
                <w:szCs w:val="24"/>
                <w:color w:val="auto"/>
              </w:rPr>
            </w:pPr>
          </w:p>
        </w:tc>
        <w:tc>
          <w:tcPr>
            <w:tcW w:w="2480" w:type="dxa"/>
            <w:vAlign w:val="bottom"/>
          </w:tcPr>
          <w:p>
            <w:pPr>
              <w:jc w:val="right"/>
              <w:ind w:right="189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-522605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200" w:firstLine="509"/>
        <w:spacing w:after="0" w:line="286" w:lineRule="auto"/>
        <w:rPr>
          <w:sz w:val="20"/>
          <w:szCs w:val="20"/>
          <w:color w:val="auto"/>
        </w:rPr>
      </w:pPr>
      <w:r>
        <w:rPr>
          <w:rFonts w:ascii="Arial" w:cs="Arial" w:eastAsia="Arial" w:hAnsi="Arial"/>
          <w:sz w:val="17"/>
          <w:szCs w:val="17"/>
          <w:color w:val="auto"/>
        </w:rPr>
        <w:t>Net cash used in operating activities was $206.5 million for the year ended December 31, 2022. Cash used in operating activities was primarily driven by the increase in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760" w:firstLine="509"/>
        <w:spacing w:after="0" w:line="277" w:lineRule="auto"/>
        <w:rPr>
          <w:sz w:val="20"/>
          <w:szCs w:val="20"/>
          <w:color w:val="auto"/>
        </w:rPr>
      </w:pPr>
      <w:r>
        <w:rPr>
          <w:rFonts w:ascii="Arial" w:cs="Arial" w:eastAsia="Arial" w:hAnsi="Arial"/>
          <w:sz w:val="18"/>
          <w:szCs w:val="18"/>
          <w:color w:val="auto"/>
        </w:rPr>
        <w:t>Net cash used in investing activities was $336.5 million for the year ended December 31, 2022, was primarily related to net purchases of marketable securities during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Net cash provided by financing activities was $1.9 million for the year ended December 31, 2022, was primarily due to proceeds from stock option exercises and proceeds from issuances of common stock pursuant to employee stock purchase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Material Known 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Operating lease payments represent our commitment for future minimum rent made under non-cancelable leases for our corporate offices in Palo Alto, California, and office and laboratory space in Visp, Switzerland. Total future undiscounted payments for our operating lease obligations as of December 31, 2022 were $117.3 million, of which $15.6 million is due in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Lease</w:t>
      </w:r>
    </w:p>
    <w:p>
      <w:pPr>
        <w:spacing w:after="0" w:line="117"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Embedded lease payments represent our commitment for future minimum payment made under the manufacturing agreement with Lonza Ltd. for the clinical and commercial supply of drug substance in a custom-built manufacturing facility. The total future payments relating to our embedded lease, including capital contribution payments, as of December 31, 2022 were approximately 184.5 million Swiss Francs, of which 34.5 million Swiss Francs is expected to be due in the next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Agreements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has entered into service and equipment purchase agreements in the normal course of business with various providers, which can contain minimum commitments or other noncancelable obligations. As of December 31, 2022, the total amount of contractual obligations related to these manufacturing agreements that are subject to cancellation fees, including accrued amounts, was $56.8 million, of which $55.5 million is expected to be due in the next twelve months.</w:t>
      </w:r>
    </w:p>
    <w:p>
      <w:pPr>
        <w:spacing w:after="0" w:line="79"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For further information on our leases and manufacturing agreements, refer to Note 8 to our consolidated financial statements included in Part II, Item 8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Agreements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 may incur potential contingent payments upon our achievement of clinical, regulatory and commercial milestones, as applicable. Due to the uncertainty of the achievement and timing of the events requiring payment under these agreements, the amounts to be paid by us are not fixed or determinable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liabilities and other current liabilities on the consolidated balance sheet. If the actual timing of the performance of services or the level of effort varies from the original estimates, we will adjust the accrual accordingly. Payments made to third parties under these arrangements in advance of the performance of the related services are recorded as prepaid expenses and other assets until the services are rendered.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509"/>
        <w:spacing w:after="0" w:line="224" w:lineRule="exact"/>
        <w:rPr>
          <w:sz w:val="20"/>
          <w:szCs w:val="20"/>
          <w:color w:val="auto"/>
        </w:rPr>
      </w:pPr>
      <w:r>
        <w:rPr>
          <w:rFonts w:ascii="Arial" w:cs="Arial" w:eastAsia="Arial" w:hAnsi="Arial"/>
          <w:sz w:val="17"/>
          <w:szCs w:val="17"/>
          <w:color w:val="auto"/>
        </w:rPr>
        <w:t>We measure and recognize compensation expense for all stock</w:t>
      </w:r>
      <w:r>
        <w:rPr>
          <w:rFonts w:ascii="MS PGothic" w:cs="MS PGothic" w:eastAsia="MS PGothic" w:hAnsi="MS PGothic"/>
          <w:sz w:val="17"/>
          <w:szCs w:val="17"/>
          <w:color w:val="auto"/>
        </w:rPr>
        <w:t>‑</w:t>
      </w:r>
      <w:r>
        <w:rPr>
          <w:rFonts w:ascii="Arial" w:cs="Arial" w:eastAsia="Arial" w:hAnsi="Arial"/>
          <w:sz w:val="17"/>
          <w:szCs w:val="17"/>
          <w:color w:val="auto"/>
        </w:rPr>
        <w:t>based awards made to employees, directors and non</w:t>
      </w:r>
      <w:r>
        <w:rPr>
          <w:rFonts w:ascii="MS PGothic" w:cs="MS PGothic" w:eastAsia="MS PGothic" w:hAnsi="MS PGothic"/>
          <w:sz w:val="17"/>
          <w:szCs w:val="17"/>
          <w:color w:val="auto"/>
        </w:rPr>
        <w:t>‑</w:t>
      </w:r>
      <w:r>
        <w:rPr>
          <w:rFonts w:ascii="Arial" w:cs="Arial" w:eastAsia="Arial" w:hAnsi="Arial"/>
          <w:sz w:val="17"/>
          <w:szCs w:val="17"/>
          <w:color w:val="auto"/>
        </w:rPr>
        <w:t>employees, based on estimated fair values of the awards on the grant date and recognized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requisite service period.</w:t>
      </w:r>
    </w:p>
    <w:p>
      <w:pPr>
        <w:spacing w:after="0" w:line="94" w:lineRule="exact"/>
        <w:rPr>
          <w:sz w:val="20"/>
          <w:szCs w:val="20"/>
          <w:color w:val="auto"/>
        </w:rPr>
      </w:pPr>
    </w:p>
    <w:p>
      <w:pPr>
        <w:ind w:right="360" w:firstLine="509"/>
        <w:spacing w:after="0" w:line="219" w:lineRule="exact"/>
        <w:rPr>
          <w:sz w:val="20"/>
          <w:szCs w:val="20"/>
          <w:color w:val="auto"/>
        </w:rPr>
      </w:pPr>
      <w:r>
        <w:rPr>
          <w:rFonts w:ascii="Arial" w:cs="Arial" w:eastAsia="Arial" w:hAnsi="Arial"/>
          <w:sz w:val="16"/>
          <w:szCs w:val="16"/>
          <w:color w:val="auto"/>
        </w:rPr>
        <w:t>The fair value of options is estimated on the grant date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valuation model or Monte Carlo simulation model. The calculation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requires that we make certain assumptions and judgments about a number of complex and subjective variables used in the valuation model, including the expected term, expected volatility of the underlying common stock and risk</w:t>
      </w:r>
      <w:r>
        <w:rPr>
          <w:rFonts w:ascii="MS PGothic" w:cs="MS PGothic" w:eastAsia="MS PGothic" w:hAnsi="MS PGothic"/>
          <w:sz w:val="16"/>
          <w:szCs w:val="16"/>
          <w:color w:val="auto"/>
        </w:rPr>
        <w:t>‑</w:t>
      </w:r>
      <w:r>
        <w:rPr>
          <w:rFonts w:ascii="Arial" w:cs="Arial" w:eastAsia="Arial" w:hAnsi="Arial"/>
          <w:sz w:val="16"/>
          <w:szCs w:val="16"/>
          <w:color w:val="auto"/>
        </w:rPr>
        <w:t>free interest rate. Our stock-based awards are subject to either service, performance-based or market-based vesting conditions. We evaluate whether achievement of the performance conditions is probable and record expense over the appropriate service period based on this assessment.</w:t>
      </w:r>
    </w:p>
    <w:p>
      <w:pPr>
        <w:spacing w:after="0" w:line="96"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Changes in these assumptions can materially affect the fair value and ultimately how much stock-based compensation expense is recognized. These inputs are subjective and generally require significant analysis and judgment to develop.</w:t>
      </w:r>
    </w:p>
    <w:p>
      <w:pPr>
        <w:spacing w:after="0" w:line="6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See Note 12 to our consolidated financial statements for stock-based compensation expense and related assumptions used in determining the fair value of our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consolidated financial statements included in Part II, Item 8 of this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1" w:lineRule="exact"/>
        <w:rPr>
          <w:sz w:val="20"/>
          <w:szCs w:val="20"/>
          <w:color w:val="auto"/>
        </w:rPr>
      </w:pPr>
    </w:p>
    <w:p>
      <w:pPr>
        <w:ind w:right="500" w:firstLine="509"/>
        <w:spacing w:after="0" w:line="296" w:lineRule="auto"/>
        <w:rPr>
          <w:sz w:val="20"/>
          <w:szCs w:val="20"/>
          <w:color w:val="auto"/>
        </w:rPr>
      </w:pPr>
      <w:r>
        <w:rPr>
          <w:rFonts w:ascii="Arial" w:cs="Arial" w:eastAsia="Arial" w:hAnsi="Arial"/>
          <w:sz w:val="16"/>
          <w:szCs w:val="16"/>
          <w:color w:val="auto"/>
        </w:rPr>
        <w:t>We are exposed to market risk related to changes in interest rates. As of December 31, 2022, we had cash, cash equivalents and marketable securities of $478.9 million, primarily invested in money market funds and U.S. treasury securities. As of December 31, 2021, we had cash and cash equivalents of $731.5 million, primarily invested in money market funds. Changes in the general level of interest rates can affect the fair value of our investment portfolio. If market interest rates were to increase immediately and uniformly by 100 basis points, or one percentage point, from levels at December 31, 2022, the net fair value of our interest-sensitive marketable securities would have resulted in a hypothetical decline of $0.6 million.</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other market risks, like foreign currency exchange rate risk, had a significant impact on our results of operations for any</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500" w:type="dxa"/>
            <w:vAlign w:val="bottom"/>
            <w:gridSpan w:val="7"/>
          </w:tcPr>
          <w:p>
            <w:pPr>
              <w:spacing w:after="0"/>
              <w:rPr>
                <w:sz w:val="20"/>
                <w:szCs w:val="20"/>
                <w:color w:val="auto"/>
              </w:rPr>
            </w:pPr>
            <w:r>
              <w:rPr>
                <w:rFonts w:ascii="Arial" w:cs="Arial" w:eastAsia="Arial" w:hAnsi="Arial"/>
                <w:sz w:val="18"/>
                <w:szCs w:val="18"/>
                <w:color w:val="auto"/>
              </w:rPr>
              <w:t>periods presented herein.</w:t>
            </w:r>
          </w:p>
        </w:tc>
        <w:tc>
          <w:tcPr>
            <w:tcW w:w="1740" w:type="dxa"/>
            <w:vAlign w:val="bottom"/>
          </w:tcPr>
          <w:p>
            <w:pPr>
              <w:spacing w:after="0"/>
              <w:rPr>
                <w:sz w:val="20"/>
                <w:szCs w:val="20"/>
                <w:color w:val="auto"/>
              </w:rPr>
            </w:pPr>
          </w:p>
        </w:tc>
      </w:tr>
      <w:tr>
        <w:trPr>
          <w:trHeight w:val="526"/>
        </w:trPr>
        <w:tc>
          <w:tcPr>
            <w:tcW w:w="95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740" w:type="dxa"/>
            <w:vAlign w:val="bottom"/>
          </w:tcPr>
          <w:p>
            <w:pPr>
              <w:spacing w:after="0"/>
              <w:rPr>
                <w:sz w:val="24"/>
                <w:szCs w:val="24"/>
                <w:color w:val="auto"/>
              </w:rPr>
            </w:pPr>
          </w:p>
        </w:tc>
      </w:tr>
      <w:tr>
        <w:trPr>
          <w:trHeight w:val="648"/>
        </w:trPr>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4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rPr>
              <w:t>INDEX TO CONSOLIDATED FINANCIAL STATEMENTS</w:t>
            </w:r>
          </w:p>
        </w:tc>
        <w:tc>
          <w:tcPr>
            <w:tcW w:w="1740" w:type="dxa"/>
            <w:vAlign w:val="bottom"/>
          </w:tcPr>
          <w:p>
            <w:pPr>
              <w:spacing w:after="0"/>
              <w:rPr>
                <w:sz w:val="24"/>
                <w:szCs w:val="24"/>
                <w:color w:val="auto"/>
              </w:rPr>
            </w:pPr>
          </w:p>
        </w:tc>
      </w:tr>
      <w:tr>
        <w:trPr>
          <w:trHeight w:val="405"/>
        </w:trPr>
        <w:tc>
          <w:tcPr>
            <w:tcW w:w="9500" w:type="dxa"/>
            <w:vAlign w:val="bottom"/>
            <w:gridSpan w:val="7"/>
          </w:tcPr>
          <w:p>
            <w:pPr>
              <w:ind w:left="20"/>
              <w:spacing w:after="0"/>
              <w:rPr>
                <w:sz w:val="20"/>
                <w:szCs w:val="20"/>
                <w:color w:val="auto"/>
              </w:rPr>
            </w:pPr>
            <w:r>
              <w:rPr>
                <w:rFonts w:ascii="Arial" w:cs="Arial" w:eastAsia="Arial" w:hAnsi="Arial"/>
                <w:sz w:val="18"/>
                <w:szCs w:val="18"/>
                <w:color w:val="0000FF"/>
              </w:rPr>
              <w:t>Report of Independent Registered Public Accounting Firm (PCAOB ID: 238)</w:t>
            </w:r>
          </w:p>
        </w:tc>
        <w:tc>
          <w:tcPr>
            <w:tcW w:w="17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4"/>
        </w:trPr>
        <w:tc>
          <w:tcPr>
            <w:tcW w:w="5600" w:type="dxa"/>
            <w:vAlign w:val="bottom"/>
            <w:tcBorders>
              <w:top w:val="single" w:sz="8" w:color="0000FF"/>
            </w:tcBorders>
            <w:gridSpan w:val="6"/>
          </w:tcPr>
          <w:p>
            <w:pPr>
              <w:ind w:left="20"/>
              <w:spacing w:after="0"/>
              <w:rPr>
                <w:sz w:val="20"/>
                <w:szCs w:val="20"/>
                <w:color w:val="auto"/>
              </w:rPr>
            </w:pPr>
            <w:r>
              <w:rPr>
                <w:rFonts w:ascii="Arial" w:cs="Arial" w:eastAsia="Arial" w:hAnsi="Arial"/>
                <w:sz w:val="18"/>
                <w:szCs w:val="18"/>
                <w:color w:val="auto"/>
              </w:rPr>
              <w:t>Consolidated Financial Statements</w:t>
            </w:r>
          </w:p>
        </w:tc>
        <w:tc>
          <w:tcPr>
            <w:tcW w:w="39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02"/>
        </w:trPr>
        <w:tc>
          <w:tcPr>
            <w:tcW w:w="9500" w:type="dxa"/>
            <w:vAlign w:val="bottom"/>
            <w:gridSpan w:val="7"/>
          </w:tcPr>
          <w:p>
            <w:pPr>
              <w:ind w:left="20"/>
              <w:spacing w:after="0" w:line="202" w:lineRule="exact"/>
              <w:rPr>
                <w:sz w:val="20"/>
                <w:szCs w:val="20"/>
                <w:color w:val="auto"/>
              </w:rPr>
            </w:pPr>
            <w:r>
              <w:rPr>
                <w:rFonts w:ascii="Arial" w:cs="Arial" w:eastAsia="Arial" w:hAnsi="Arial"/>
                <w:sz w:val="18"/>
                <w:szCs w:val="18"/>
                <w:color w:val="0000FF"/>
              </w:rPr>
              <w:t>Consolidated Balance Sheets</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23"/>
        </w:trPr>
        <w:tc>
          <w:tcPr>
            <w:tcW w:w="470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89"/>
              </w:rPr>
              <w:t>Consolidated Statements of Operations and Comprehensive Loss</w:t>
            </w:r>
          </w:p>
        </w:tc>
        <w:tc>
          <w:tcPr>
            <w:tcW w:w="4800" w:type="dxa"/>
            <w:vAlign w:val="bottom"/>
            <w:gridSpan w:val="2"/>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9500" w:type="dxa"/>
            <w:vAlign w:val="bottom"/>
            <w:gridSpan w:val="7"/>
          </w:tcPr>
          <w:p>
            <w:pPr>
              <w:ind w:left="20"/>
              <w:spacing w:after="0"/>
              <w:rPr>
                <w:sz w:val="20"/>
                <w:szCs w:val="20"/>
                <w:color w:val="auto"/>
              </w:rPr>
            </w:pPr>
            <w:r>
              <w:rPr>
                <w:rFonts w:ascii="Arial" w:cs="Arial" w:eastAsia="Arial" w:hAnsi="Arial"/>
                <w:sz w:val="18"/>
                <w:szCs w:val="18"/>
                <w:color w:val="0000FF"/>
              </w:rPr>
              <w:t>Consolidated Statements of Stockholders’ Equity</w:t>
            </w:r>
          </w:p>
        </w:tc>
        <w:tc>
          <w:tcPr>
            <w:tcW w:w="17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89"/>
              </w:rPr>
              <w:t>Consolidated Statements of Cash Flows</w:t>
            </w:r>
          </w:p>
        </w:tc>
        <w:tc>
          <w:tcPr>
            <w:tcW w:w="660" w:type="dxa"/>
            <w:vAlign w:val="bottom"/>
            <w:tcBorders>
              <w:top w:val="single" w:sz="8" w:color="0000FF"/>
            </w:tcBorders>
            <w:gridSpan w:val="2"/>
          </w:tcPr>
          <w:p>
            <w:pPr>
              <w:spacing w:after="0"/>
              <w:rPr>
                <w:sz w:val="19"/>
                <w:szCs w:val="19"/>
                <w:color w:val="auto"/>
              </w:rPr>
            </w:pPr>
          </w:p>
        </w:tc>
        <w:tc>
          <w:tcPr>
            <w:tcW w:w="5940" w:type="dxa"/>
            <w:vAlign w:val="bottom"/>
            <w:gridSpan w:val="3"/>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9500" w:type="dxa"/>
            <w:vAlign w:val="bottom"/>
            <w:gridSpan w:val="7"/>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7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682"/>
        </w:trPr>
        <w:tc>
          <w:tcPr>
            <w:tcW w:w="3160" w:type="dxa"/>
            <w:vAlign w:val="bottom"/>
            <w:tcBorders>
              <w:top w:val="single" w:sz="8" w:color="0000FF"/>
            </w:tcBorders>
            <w:gridSpan w:val="3"/>
          </w:tcPr>
          <w:p>
            <w:pPr>
              <w:spacing w:after="0"/>
              <w:rPr>
                <w:sz w:val="24"/>
                <w:szCs w:val="24"/>
                <w:color w:val="auto"/>
              </w:rPr>
            </w:pPr>
          </w:p>
        </w:tc>
        <w:tc>
          <w:tcPr>
            <w:tcW w:w="6340" w:type="dxa"/>
            <w:vAlign w:val="bottom"/>
            <w:gridSpan w:val="4"/>
          </w:tcPr>
          <w:p>
            <w:pPr>
              <w:jc w:val="right"/>
              <w:ind w:right="3780"/>
              <w:spacing w:after="0"/>
              <w:rPr>
                <w:sz w:val="20"/>
                <w:szCs w:val="20"/>
                <w:color w:val="auto"/>
              </w:rPr>
            </w:pPr>
            <w:r>
              <w:rPr>
                <w:rFonts w:ascii="Arial" w:cs="Arial" w:eastAsia="Arial" w:hAnsi="Arial"/>
                <w:sz w:val="18"/>
                <w:szCs w:val="18"/>
                <w:color w:val="auto"/>
              </w:rPr>
              <w:t>81</w:t>
            </w:r>
          </w:p>
        </w:tc>
        <w:tc>
          <w:tcPr>
            <w:tcW w:w="174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Kodiak Sciences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Kodiak Sciences Inc. and its subsidiaries (the “Company”) as of December 31, 2022 and 2021, and the related consolidated statements of operations and comprehensive loss, of stockholders’ 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Clinical Trial and Related Costs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described in Notes 2 and 4 to the consolidated financial statements, the Company recorded $18.3 million in accrued clinical trial and related costs as of December 31, 2022.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w:t>
      </w:r>
    </w:p>
    <w:p>
      <w:pPr>
        <w:spacing w:after="0" w:line="14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accrued clinical trial and related costs is a critical audit matter are the judgment by management in evaluating the data used in developing the accrued clinical trial and related cost estimates, which in turn led to a high degree of auditor judgment and effort in performing procedures to evaluate audit evidence obtained related to patient enrollment, clinical site activations and services rendered by outside service providers used by management in developing the estimates.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completeness and accuracy of clinical trial accruals, including controls relating to the reliability of data used in the development of the estimates. These procedures also included, among others, (1) testing management’s process for developing the estimated accrued clinical trial and related costs, (2) evaluating the appropriateness of the approach used by management to develop the estimates, (3) testing the completeness and accuracy of the data used in developing the estimates, including data related to patient enrollment, clinical site activations and services rendered by outside service providers, (4) confirming clinical costs and contracted fees with the clinical vendors on a test basis, and (5) examining clinical vendor contracts on a test basis to evaluate the completeness of costs considered in the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w w:val="97"/>
              </w:rPr>
              <w:t>December 31,</w:t>
            </w:r>
          </w:p>
        </w:tc>
        <w:tc>
          <w:tcPr>
            <w:tcW w:w="20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December 31,</w:t>
            </w:r>
          </w:p>
        </w:tc>
      </w:tr>
      <w:tr>
        <w:trPr>
          <w:trHeight w:val="223"/>
        </w:trPr>
        <w:tc>
          <w:tcPr>
            <w:tcW w:w="7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190,433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731,510</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288,500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7,072</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7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486,005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734,811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6,324</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56,384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41,330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59,369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66,744</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58,546</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55,011</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666,628</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904,220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9,130</w:t>
            </w:r>
          </w:p>
        </w:tc>
        <w:tc>
          <w:tcPr>
            <w:tcW w:w="2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12,431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33,440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48,319</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Operating lease liability</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9,926</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52,496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64,683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77,807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76,063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99,996</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99,943</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230,461</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240,900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6"/>
        </w:trPr>
        <w:tc>
          <w:tcPr>
            <w:tcW w:w="7720" w:type="dxa"/>
            <w:vAlign w:val="bottom"/>
          </w:tcPr>
          <w:p>
            <w:pPr>
              <w:ind w:left="200"/>
              <w:spacing w:after="0"/>
              <w:rPr>
                <w:sz w:val="20"/>
                <w:szCs w:val="20"/>
                <w:color w:val="auto"/>
              </w:rPr>
            </w:pPr>
            <w:r>
              <w:rPr>
                <w:rFonts w:ascii="Arial" w:cs="Arial" w:eastAsia="Arial" w:hAnsi="Arial"/>
                <w:sz w:val="16"/>
                <w:szCs w:val="16"/>
                <w:color w:val="auto"/>
              </w:rPr>
              <w:t>Preferred stock, $0.0001 par value, 10,000,000 shares authorized;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Arial" w:cs="Arial" w:eastAsia="Arial" w:hAnsi="Arial"/>
                <w:sz w:val="16"/>
                <w:szCs w:val="16"/>
                <w:color w:val="auto"/>
              </w:rPr>
              <w:t>0 shares issued and outstanding at December 31, 2022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6"/>
                <w:szCs w:val="16"/>
                <w:color w:val="auto"/>
              </w:rPr>
              <w:t>December 31, 2021, respectively</w:t>
            </w:r>
          </w:p>
        </w:tc>
        <w:tc>
          <w:tcPr>
            <w:tcW w:w="2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$0.0001 par value, 490,000,000 shares authorized</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at December 31, 2022 and December 31, 2021; 52,333,850 and</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51,826,257 shares issued and outstanding at December 31, 2022 and</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2021, respectively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1,329,509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1,221,532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(1,307 )</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(892,040 )</w:t>
            </w: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(558,217 )</w:t>
            </w: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436,167</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663,320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666,628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904,220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-4396740</wp:posOffset>
            </wp:positionV>
            <wp:extent cx="6858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-3505835</wp:posOffset>
            </wp:positionV>
            <wp:extent cx="123444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3444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-2005330</wp:posOffset>
            </wp:positionV>
            <wp:extent cx="685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180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267,591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217,340</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73,788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49,711</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341,379</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267,051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(341,379 )</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(267,051 )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(136,007 )</w:t>
            </w: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(18 )</w:t>
            </w: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(47 )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(190 )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(333,823 )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(266,990 )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(133,096 )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Net loss per common share, 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(6.39 )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(5.16 )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(2.91 )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shares of common stock outstanding used</w:t>
            </w:r>
          </w:p>
        </w:tc>
        <w:tc>
          <w:tcPr>
            <w:tcW w:w="30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52,249,620</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51,788,918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45,741,845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in computing net loss per common share, basic and diluted</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6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unrealized gains (losses) related to available-for-sale</w:t>
            </w:r>
          </w:p>
        </w:tc>
        <w:tc>
          <w:tcPr>
            <w:tcW w:w="30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(1,307 )</w:t>
            </w:r>
          </w:p>
        </w:tc>
        <w:tc>
          <w:tcPr>
            <w:tcW w:w="160" w:type="dxa"/>
            <w:vAlign w:val="bottom"/>
            <w:shd w:val="clear" w:color="auto" w:fill="CFF0FC"/>
          </w:tcPr>
          <w:p>
            <w:pPr>
              <w:spacing w:after="0"/>
              <w:rPr>
                <w:sz w:val="18"/>
                <w:szCs w:val="18"/>
                <w:color w:val="auto"/>
              </w:rPr>
            </w:pPr>
          </w:p>
        </w:tc>
        <w:tc>
          <w:tcPr>
            <w:tcW w:w="14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(53 )</w:t>
            </w:r>
          </w:p>
        </w:tc>
        <w:tc>
          <w:tcPr>
            <w:tcW w:w="3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debt securities, net of tax</w:t>
            </w:r>
          </w:p>
        </w:tc>
        <w:tc>
          <w:tcPr>
            <w:tcW w:w="30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tcPr>
          <w:p>
            <w:pPr>
              <w:ind w:left="380"/>
              <w:spacing w:after="0"/>
              <w:rPr>
                <w:sz w:val="20"/>
                <w:szCs w:val="20"/>
                <w:color w:val="auto"/>
              </w:rPr>
            </w:pPr>
            <w:r>
              <w:rPr>
                <w:rFonts w:ascii="Arial" w:cs="Arial" w:eastAsia="Arial" w:hAnsi="Arial"/>
                <w:sz w:val="16"/>
                <w:szCs w:val="16"/>
                <w:color w:val="auto"/>
              </w:rPr>
              <w:t>Total other comprehensive income (loss)</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(1,307 )</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(53 )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(335,130 )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(267,043 )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(133,053 )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-2729230</wp:posOffset>
            </wp:positionV>
            <wp:extent cx="209994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99945" cy="1885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-2116455</wp:posOffset>
            </wp:positionV>
            <wp:extent cx="6858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-2116455</wp:posOffset>
            </wp:positionV>
            <wp:extent cx="6858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-1216660</wp:posOffset>
            </wp:positionV>
            <wp:extent cx="2074545"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74545" cy="1968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-770890</wp:posOffset>
            </wp:positionV>
            <wp:extent cx="207454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74545"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-334010</wp:posOffset>
            </wp:positionV>
            <wp:extent cx="6858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-334010</wp:posOffset>
            </wp:positionV>
            <wp:extent cx="6858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amounts)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2800" w:type="dxa"/>
            <w:vAlign w:val="bottom"/>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7"/>
        </w:trPr>
        <w:tc>
          <w:tcPr>
            <w:tcW w:w="2800" w:type="dxa"/>
            <w:vAlign w:val="bottom"/>
          </w:tcPr>
          <w:p>
            <w:pPr>
              <w:spacing w:after="0"/>
              <w:rPr>
                <w:sz w:val="13"/>
                <w:szCs w:val="13"/>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3"/>
                <w:szCs w:val="13"/>
                <w:color w:val="auto"/>
              </w:rPr>
            </w:pPr>
          </w:p>
        </w:tc>
      </w:tr>
      <w:tr>
        <w:trPr>
          <w:trHeight w:val="154"/>
        </w:trPr>
        <w:tc>
          <w:tcPr>
            <w:tcW w:w="2800" w:type="dxa"/>
            <w:vAlign w:val="bottom"/>
          </w:tcPr>
          <w:p>
            <w:pPr>
              <w:spacing w:after="0"/>
              <w:rPr>
                <w:sz w:val="20"/>
                <w:szCs w:val="20"/>
                <w:color w:val="auto"/>
              </w:rPr>
            </w:pPr>
            <w:r>
              <w:rPr>
                <w:rFonts w:ascii="Arial" w:cs="Arial" w:eastAsia="Arial" w:hAnsi="Arial"/>
                <w:sz w:val="13"/>
                <w:szCs w:val="13"/>
                <w:color w:val="auto"/>
              </w:rPr>
              <w:t>Balances at December 31, 2019</w:t>
            </w:r>
          </w:p>
        </w:tc>
        <w:tc>
          <w:tcPr>
            <w:tcW w:w="1180" w:type="dxa"/>
            <w:vAlign w:val="bottom"/>
          </w:tcPr>
          <w:p>
            <w:pPr>
              <w:jc w:val="right"/>
              <w:spacing w:after="0"/>
              <w:rPr>
                <w:sz w:val="20"/>
                <w:szCs w:val="20"/>
                <w:color w:val="auto"/>
              </w:rPr>
            </w:pPr>
            <w:r>
              <w:rPr>
                <w:rFonts w:ascii="Arial" w:cs="Arial" w:eastAsia="Arial" w:hAnsi="Arial"/>
                <w:sz w:val="13"/>
                <w:szCs w:val="13"/>
                <w:color w:val="auto"/>
              </w:rPr>
              <w:t>44,413,404</w:t>
            </w:r>
          </w:p>
        </w:tc>
        <w:tc>
          <w:tcPr>
            <w:tcW w:w="240" w:type="dxa"/>
            <w:vAlign w:val="bottom"/>
          </w:tcPr>
          <w:p>
            <w:pPr>
              <w:spacing w:after="0"/>
              <w:rPr>
                <w:sz w:val="13"/>
                <w:szCs w:val="13"/>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6"/>
        </w:trPr>
        <w:tc>
          <w:tcPr>
            <w:tcW w:w="2800" w:type="dxa"/>
            <w:vAlign w:val="bottom"/>
          </w:tcPr>
          <w:p>
            <w:pPr>
              <w:ind w:left="180"/>
              <w:spacing w:after="0" w:line="136" w:lineRule="exact"/>
              <w:rPr>
                <w:sz w:val="20"/>
                <w:szCs w:val="20"/>
                <w:color w:val="auto"/>
              </w:rPr>
            </w:pPr>
            <w:r>
              <w:rPr>
                <w:rFonts w:ascii="Arial" w:cs="Arial" w:eastAsia="Arial" w:hAnsi="Arial"/>
                <w:sz w:val="13"/>
                <w:szCs w:val="13"/>
                <w:color w:val="auto"/>
              </w:rPr>
              <w:t>Issuance of common stock upon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704,675</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Issuance of common stock in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800" w:type="dxa"/>
            <w:vAlign w:val="bottom"/>
          </w:tcPr>
          <w:p>
            <w:pPr>
              <w:ind w:left="280"/>
              <w:spacing w:after="0" w:line="135" w:lineRule="exact"/>
              <w:rPr>
                <w:sz w:val="20"/>
                <w:szCs w:val="20"/>
                <w:color w:val="auto"/>
              </w:rPr>
            </w:pPr>
            <w:r>
              <w:rPr>
                <w:rFonts w:ascii="Arial" w:cs="Arial" w:eastAsia="Arial" w:hAnsi="Arial"/>
                <w:sz w:val="13"/>
                <w:szCs w:val="13"/>
                <w:color w:val="auto"/>
              </w:rPr>
              <w:t>connection with follow-on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800" w:type="dxa"/>
            <w:vAlign w:val="bottom"/>
          </w:tcPr>
          <w:p>
            <w:pPr>
              <w:ind w:left="280"/>
              <w:spacing w:after="0" w:line="135" w:lineRule="exact"/>
              <w:rPr>
                <w:sz w:val="20"/>
                <w:szCs w:val="20"/>
                <w:color w:val="auto"/>
              </w:rPr>
            </w:pPr>
            <w:r>
              <w:rPr>
                <w:rFonts w:ascii="Arial" w:cs="Arial" w:eastAsia="Arial" w:hAnsi="Arial"/>
                <w:sz w:val="13"/>
                <w:szCs w:val="13"/>
                <w:color w:val="auto"/>
              </w:rPr>
              <w:t>offering, net of offering costs</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of $32,984</w:t>
            </w:r>
          </w:p>
        </w:tc>
        <w:tc>
          <w:tcPr>
            <w:tcW w:w="1180" w:type="dxa"/>
            <w:vAlign w:val="bottom"/>
          </w:tcPr>
          <w:p>
            <w:pPr>
              <w:jc w:val="right"/>
              <w:spacing w:after="0"/>
              <w:rPr>
                <w:sz w:val="20"/>
                <w:szCs w:val="20"/>
                <w:color w:val="auto"/>
              </w:rPr>
            </w:pPr>
            <w:r>
              <w:rPr>
                <w:rFonts w:ascii="Arial" w:cs="Arial" w:eastAsia="Arial" w:hAnsi="Arial"/>
                <w:sz w:val="13"/>
                <w:szCs w:val="13"/>
                <w:color w:val="auto"/>
              </w:rPr>
              <w:t>5,972,222</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Issuance of common stock upon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800" w:type="dxa"/>
            <w:vAlign w:val="bottom"/>
          </w:tcPr>
          <w:p>
            <w:pPr>
              <w:ind w:left="280"/>
              <w:spacing w:after="0" w:line="135" w:lineRule="exact"/>
              <w:rPr>
                <w:sz w:val="20"/>
                <w:szCs w:val="20"/>
                <w:color w:val="auto"/>
              </w:rPr>
            </w:pPr>
            <w:r>
              <w:rPr>
                <w:rFonts w:ascii="Arial" w:cs="Arial" w:eastAsia="Arial" w:hAnsi="Arial"/>
                <w:sz w:val="13"/>
                <w:szCs w:val="13"/>
                <w:color w:val="auto"/>
              </w:rPr>
              <w:t>vesting of restricted stock units,</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net of taxes withheld</w:t>
            </w:r>
          </w:p>
        </w:tc>
        <w:tc>
          <w:tcPr>
            <w:tcW w:w="1180" w:type="dxa"/>
            <w:vAlign w:val="bottom"/>
          </w:tcPr>
          <w:p>
            <w:pPr>
              <w:jc w:val="right"/>
              <w:spacing w:after="0"/>
              <w:rPr>
                <w:sz w:val="20"/>
                <w:szCs w:val="20"/>
                <w:color w:val="auto"/>
              </w:rPr>
            </w:pPr>
            <w:r>
              <w:rPr>
                <w:rFonts w:ascii="Arial" w:cs="Arial" w:eastAsia="Arial" w:hAnsi="Arial"/>
                <w:sz w:val="13"/>
                <w:szCs w:val="13"/>
                <w:color w:val="auto"/>
              </w:rPr>
              <w:t>22,001</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Stock-based compensation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expense</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r>
      <w:tr>
        <w:trPr>
          <w:trHeight w:val="156"/>
        </w:trPr>
        <w:tc>
          <w:tcPr>
            <w:tcW w:w="2800" w:type="dxa"/>
            <w:vAlign w:val="bottom"/>
          </w:tcPr>
          <w:p>
            <w:pPr>
              <w:spacing w:after="0"/>
              <w:rPr>
                <w:sz w:val="20"/>
                <w:szCs w:val="20"/>
                <w:color w:val="auto"/>
              </w:rPr>
            </w:pPr>
            <w:r>
              <w:rPr>
                <w:rFonts w:ascii="Arial" w:cs="Arial" w:eastAsia="Arial" w:hAnsi="Arial"/>
                <w:sz w:val="13"/>
                <w:szCs w:val="13"/>
                <w:color w:val="auto"/>
              </w:rPr>
              <w:t>Balances at December 31, 2020</w:t>
            </w:r>
          </w:p>
        </w:tc>
        <w:tc>
          <w:tcPr>
            <w:tcW w:w="1180" w:type="dxa"/>
            <w:vAlign w:val="bottom"/>
          </w:tcPr>
          <w:p>
            <w:pPr>
              <w:jc w:val="right"/>
              <w:spacing w:after="0"/>
              <w:rPr>
                <w:sz w:val="20"/>
                <w:szCs w:val="20"/>
                <w:color w:val="auto"/>
              </w:rPr>
            </w:pPr>
            <w:r>
              <w:rPr>
                <w:rFonts w:ascii="Arial" w:cs="Arial" w:eastAsia="Arial" w:hAnsi="Arial"/>
                <w:sz w:val="13"/>
                <w:szCs w:val="13"/>
                <w:color w:val="auto"/>
              </w:rPr>
              <w:t>51,112,302</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320" w:type="dxa"/>
            <w:vAlign w:val="bottom"/>
          </w:tcPr>
          <w:p>
            <w:pPr>
              <w:spacing w:after="0"/>
              <w:rPr>
                <w:sz w:val="13"/>
                <w:szCs w:val="13"/>
                <w:color w:val="auto"/>
              </w:rPr>
            </w:pPr>
          </w:p>
        </w:tc>
      </w:tr>
      <w:tr>
        <w:trPr>
          <w:trHeight w:val="136"/>
        </w:trPr>
        <w:tc>
          <w:tcPr>
            <w:tcW w:w="2800" w:type="dxa"/>
            <w:vAlign w:val="bottom"/>
          </w:tcPr>
          <w:p>
            <w:pPr>
              <w:ind w:left="180"/>
              <w:spacing w:after="0" w:line="136" w:lineRule="exact"/>
              <w:rPr>
                <w:sz w:val="20"/>
                <w:szCs w:val="20"/>
                <w:color w:val="auto"/>
              </w:rPr>
            </w:pPr>
            <w:r>
              <w:rPr>
                <w:rFonts w:ascii="Arial" w:cs="Arial" w:eastAsia="Arial" w:hAnsi="Arial"/>
                <w:sz w:val="13"/>
                <w:szCs w:val="13"/>
                <w:color w:val="auto"/>
              </w:rPr>
              <w:t>Issuance of common stock upon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463,796</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Issuance of common stock upon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800" w:type="dxa"/>
            <w:vAlign w:val="bottom"/>
          </w:tcPr>
          <w:p>
            <w:pPr>
              <w:ind w:left="280"/>
              <w:spacing w:after="0" w:line="135" w:lineRule="exact"/>
              <w:rPr>
                <w:sz w:val="20"/>
                <w:szCs w:val="20"/>
                <w:color w:val="auto"/>
              </w:rPr>
            </w:pPr>
            <w:r>
              <w:rPr>
                <w:rFonts w:ascii="Arial" w:cs="Arial" w:eastAsia="Arial" w:hAnsi="Arial"/>
                <w:sz w:val="13"/>
                <w:szCs w:val="13"/>
                <w:color w:val="auto"/>
              </w:rPr>
              <w:t>vesting of restricted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units</w:t>
            </w:r>
          </w:p>
        </w:tc>
        <w:tc>
          <w:tcPr>
            <w:tcW w:w="1180" w:type="dxa"/>
            <w:vAlign w:val="bottom"/>
          </w:tcPr>
          <w:p>
            <w:pPr>
              <w:jc w:val="right"/>
              <w:spacing w:after="0"/>
              <w:rPr>
                <w:sz w:val="20"/>
                <w:szCs w:val="20"/>
                <w:color w:val="auto"/>
              </w:rPr>
            </w:pPr>
            <w:r>
              <w:rPr>
                <w:rFonts w:ascii="Arial" w:cs="Arial" w:eastAsia="Arial" w:hAnsi="Arial"/>
                <w:sz w:val="13"/>
                <w:szCs w:val="13"/>
                <w:color w:val="auto"/>
              </w:rPr>
              <w:t>93,218</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Issuance of common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800" w:type="dxa"/>
            <w:vAlign w:val="bottom"/>
          </w:tcPr>
          <w:p>
            <w:pPr>
              <w:ind w:left="280"/>
              <w:spacing w:after="0" w:line="135" w:lineRule="exact"/>
              <w:rPr>
                <w:sz w:val="20"/>
                <w:szCs w:val="20"/>
                <w:color w:val="auto"/>
              </w:rPr>
            </w:pPr>
            <w:r>
              <w:rPr>
                <w:rFonts w:ascii="Arial" w:cs="Arial" w:eastAsia="Arial" w:hAnsi="Arial"/>
                <w:sz w:val="13"/>
                <w:szCs w:val="13"/>
                <w:color w:val="auto"/>
              </w:rPr>
              <w:t>pursuant to employee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purchase plan</w:t>
            </w:r>
          </w:p>
        </w:tc>
        <w:tc>
          <w:tcPr>
            <w:tcW w:w="1180" w:type="dxa"/>
            <w:vAlign w:val="bottom"/>
          </w:tcPr>
          <w:p>
            <w:pPr>
              <w:jc w:val="right"/>
              <w:spacing w:after="0"/>
              <w:rPr>
                <w:sz w:val="20"/>
                <w:szCs w:val="20"/>
                <w:color w:val="auto"/>
              </w:rPr>
            </w:pPr>
            <w:r>
              <w:rPr>
                <w:rFonts w:ascii="Arial" w:cs="Arial" w:eastAsia="Arial" w:hAnsi="Arial"/>
                <w:sz w:val="13"/>
                <w:szCs w:val="13"/>
                <w:color w:val="auto"/>
              </w:rPr>
              <w:t>6,958</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Issuance of common stock upon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800" w:type="dxa"/>
            <w:vAlign w:val="bottom"/>
          </w:tcPr>
          <w:p>
            <w:pPr>
              <w:ind w:left="280"/>
              <w:spacing w:after="0" w:line="135" w:lineRule="exact"/>
              <w:rPr>
                <w:sz w:val="20"/>
                <w:szCs w:val="20"/>
                <w:color w:val="auto"/>
              </w:rPr>
            </w:pPr>
            <w:r>
              <w:rPr>
                <w:rFonts w:ascii="Arial" w:cs="Arial" w:eastAsia="Arial" w:hAnsi="Arial"/>
                <w:sz w:val="13"/>
                <w:szCs w:val="13"/>
                <w:color w:val="auto"/>
              </w:rPr>
              <w:t>exercise of common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warrants</w:t>
            </w:r>
          </w:p>
        </w:tc>
        <w:tc>
          <w:tcPr>
            <w:tcW w:w="1180" w:type="dxa"/>
            <w:vAlign w:val="bottom"/>
          </w:tcPr>
          <w:p>
            <w:pPr>
              <w:jc w:val="right"/>
              <w:spacing w:after="0"/>
              <w:rPr>
                <w:sz w:val="20"/>
                <w:szCs w:val="20"/>
                <w:color w:val="auto"/>
              </w:rPr>
            </w:pPr>
            <w:r>
              <w:rPr>
                <w:rFonts w:ascii="Arial" w:cs="Arial" w:eastAsia="Arial" w:hAnsi="Arial"/>
                <w:sz w:val="13"/>
                <w:szCs w:val="13"/>
                <w:color w:val="auto"/>
              </w:rPr>
              <w:t>149,983</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Stock-based compensation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expense</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r>
      <w:tr>
        <w:trPr>
          <w:trHeight w:val="156"/>
        </w:trPr>
        <w:tc>
          <w:tcPr>
            <w:tcW w:w="2800" w:type="dxa"/>
            <w:vAlign w:val="bottom"/>
          </w:tcPr>
          <w:p>
            <w:pPr>
              <w:spacing w:after="0"/>
              <w:rPr>
                <w:sz w:val="20"/>
                <w:szCs w:val="20"/>
                <w:color w:val="auto"/>
              </w:rPr>
            </w:pPr>
            <w:r>
              <w:rPr>
                <w:rFonts w:ascii="Arial" w:cs="Arial" w:eastAsia="Arial" w:hAnsi="Arial"/>
                <w:sz w:val="13"/>
                <w:szCs w:val="13"/>
                <w:color w:val="auto"/>
              </w:rPr>
              <w:t>Balances at December 31, 2021</w:t>
            </w:r>
          </w:p>
        </w:tc>
        <w:tc>
          <w:tcPr>
            <w:tcW w:w="1180" w:type="dxa"/>
            <w:vAlign w:val="bottom"/>
          </w:tcPr>
          <w:p>
            <w:pPr>
              <w:jc w:val="right"/>
              <w:spacing w:after="0"/>
              <w:rPr>
                <w:sz w:val="20"/>
                <w:szCs w:val="20"/>
                <w:color w:val="auto"/>
              </w:rPr>
            </w:pPr>
            <w:r>
              <w:rPr>
                <w:rFonts w:ascii="Arial" w:cs="Arial" w:eastAsia="Arial" w:hAnsi="Arial"/>
                <w:sz w:val="13"/>
                <w:szCs w:val="13"/>
                <w:color w:val="auto"/>
              </w:rPr>
              <w:t>51,826,257</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320" w:type="dxa"/>
            <w:vAlign w:val="bottom"/>
          </w:tcPr>
          <w:p>
            <w:pPr>
              <w:spacing w:after="0"/>
              <w:rPr>
                <w:sz w:val="13"/>
                <w:szCs w:val="13"/>
                <w:color w:val="auto"/>
              </w:rPr>
            </w:pPr>
          </w:p>
        </w:tc>
      </w:tr>
      <w:tr>
        <w:trPr>
          <w:trHeight w:val="136"/>
        </w:trPr>
        <w:tc>
          <w:tcPr>
            <w:tcW w:w="2800" w:type="dxa"/>
            <w:vAlign w:val="bottom"/>
          </w:tcPr>
          <w:p>
            <w:pPr>
              <w:ind w:left="180"/>
              <w:spacing w:after="0" w:line="136" w:lineRule="exact"/>
              <w:rPr>
                <w:sz w:val="20"/>
                <w:szCs w:val="20"/>
                <w:color w:val="auto"/>
              </w:rPr>
            </w:pPr>
            <w:r>
              <w:rPr>
                <w:rFonts w:ascii="Arial" w:cs="Arial" w:eastAsia="Arial" w:hAnsi="Arial"/>
                <w:sz w:val="13"/>
                <w:szCs w:val="13"/>
                <w:color w:val="auto"/>
              </w:rPr>
              <w:t>Issuance of common stock upon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126,999</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Issuance of common stock upon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800" w:type="dxa"/>
            <w:vAlign w:val="bottom"/>
          </w:tcPr>
          <w:p>
            <w:pPr>
              <w:ind w:left="280"/>
              <w:spacing w:after="0" w:line="135" w:lineRule="exact"/>
              <w:rPr>
                <w:sz w:val="20"/>
                <w:szCs w:val="20"/>
                <w:color w:val="auto"/>
              </w:rPr>
            </w:pPr>
            <w:r>
              <w:rPr>
                <w:rFonts w:ascii="Arial" w:cs="Arial" w:eastAsia="Arial" w:hAnsi="Arial"/>
                <w:sz w:val="13"/>
                <w:szCs w:val="13"/>
                <w:color w:val="auto"/>
              </w:rPr>
              <w:t>vesting of restricted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units</w:t>
            </w:r>
          </w:p>
        </w:tc>
        <w:tc>
          <w:tcPr>
            <w:tcW w:w="1180" w:type="dxa"/>
            <w:vAlign w:val="bottom"/>
          </w:tcPr>
          <w:p>
            <w:pPr>
              <w:jc w:val="right"/>
              <w:spacing w:after="0"/>
              <w:rPr>
                <w:sz w:val="20"/>
                <w:szCs w:val="20"/>
                <w:color w:val="auto"/>
              </w:rPr>
            </w:pPr>
            <w:r>
              <w:rPr>
                <w:rFonts w:ascii="Arial" w:cs="Arial" w:eastAsia="Arial" w:hAnsi="Arial"/>
                <w:sz w:val="13"/>
                <w:szCs w:val="13"/>
                <w:color w:val="auto"/>
              </w:rPr>
              <w:t>103,032</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Issuance of common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800" w:type="dxa"/>
            <w:vAlign w:val="bottom"/>
          </w:tcPr>
          <w:p>
            <w:pPr>
              <w:ind w:left="280"/>
              <w:spacing w:after="0" w:line="135" w:lineRule="exact"/>
              <w:rPr>
                <w:sz w:val="20"/>
                <w:szCs w:val="20"/>
                <w:color w:val="auto"/>
              </w:rPr>
            </w:pPr>
            <w:r>
              <w:rPr>
                <w:rFonts w:ascii="Arial" w:cs="Arial" w:eastAsia="Arial" w:hAnsi="Arial"/>
                <w:sz w:val="13"/>
                <w:szCs w:val="13"/>
                <w:color w:val="auto"/>
              </w:rPr>
              <w:t>pursuant to employee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purchase plan</w:t>
            </w:r>
          </w:p>
        </w:tc>
        <w:tc>
          <w:tcPr>
            <w:tcW w:w="1180" w:type="dxa"/>
            <w:vAlign w:val="bottom"/>
          </w:tcPr>
          <w:p>
            <w:pPr>
              <w:jc w:val="right"/>
              <w:spacing w:after="0"/>
              <w:rPr>
                <w:sz w:val="20"/>
                <w:szCs w:val="20"/>
                <w:color w:val="auto"/>
              </w:rPr>
            </w:pPr>
            <w:r>
              <w:rPr>
                <w:rFonts w:ascii="Arial" w:cs="Arial" w:eastAsia="Arial" w:hAnsi="Arial"/>
                <w:sz w:val="13"/>
                <w:szCs w:val="13"/>
                <w:color w:val="auto"/>
              </w:rPr>
              <w:t>27,863</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Issuance of common stock upon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2800" w:type="dxa"/>
            <w:vAlign w:val="bottom"/>
          </w:tcPr>
          <w:p>
            <w:pPr>
              <w:ind w:left="280"/>
              <w:spacing w:after="0" w:line="135" w:lineRule="exact"/>
              <w:rPr>
                <w:sz w:val="20"/>
                <w:szCs w:val="20"/>
                <w:color w:val="auto"/>
              </w:rPr>
            </w:pPr>
            <w:r>
              <w:rPr>
                <w:rFonts w:ascii="Arial" w:cs="Arial" w:eastAsia="Arial" w:hAnsi="Arial"/>
                <w:sz w:val="13"/>
                <w:szCs w:val="13"/>
                <w:color w:val="auto"/>
              </w:rPr>
              <w:t>exercise of common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warrants</w:t>
            </w:r>
          </w:p>
        </w:tc>
        <w:tc>
          <w:tcPr>
            <w:tcW w:w="1180" w:type="dxa"/>
            <w:vAlign w:val="bottom"/>
          </w:tcPr>
          <w:p>
            <w:pPr>
              <w:jc w:val="right"/>
              <w:spacing w:after="0"/>
              <w:rPr>
                <w:sz w:val="20"/>
                <w:szCs w:val="20"/>
                <w:color w:val="auto"/>
              </w:rPr>
            </w:pPr>
            <w:r>
              <w:rPr>
                <w:rFonts w:ascii="Arial" w:cs="Arial" w:eastAsia="Arial" w:hAnsi="Arial"/>
                <w:sz w:val="13"/>
                <w:szCs w:val="13"/>
                <w:color w:val="auto"/>
              </w:rPr>
              <w:t>249,699</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37"/>
        </w:trPr>
        <w:tc>
          <w:tcPr>
            <w:tcW w:w="2800" w:type="dxa"/>
            <w:vAlign w:val="bottom"/>
          </w:tcPr>
          <w:p>
            <w:pPr>
              <w:ind w:left="180"/>
              <w:spacing w:after="0" w:line="137" w:lineRule="exact"/>
              <w:rPr>
                <w:sz w:val="20"/>
                <w:szCs w:val="20"/>
                <w:color w:val="auto"/>
              </w:rPr>
            </w:pPr>
            <w:r>
              <w:rPr>
                <w:rFonts w:ascii="Arial" w:cs="Arial" w:eastAsia="Arial" w:hAnsi="Arial"/>
                <w:sz w:val="13"/>
                <w:szCs w:val="13"/>
                <w:color w:val="auto"/>
              </w:rPr>
              <w:t>Stock-based compensation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0"/>
        </w:trPr>
        <w:tc>
          <w:tcPr>
            <w:tcW w:w="2800" w:type="dxa"/>
            <w:vAlign w:val="bottom"/>
          </w:tcPr>
          <w:p>
            <w:pPr>
              <w:ind w:left="280"/>
              <w:spacing w:after="0"/>
              <w:rPr>
                <w:sz w:val="20"/>
                <w:szCs w:val="20"/>
                <w:color w:val="auto"/>
              </w:rPr>
            </w:pPr>
            <w:r>
              <w:rPr>
                <w:rFonts w:ascii="Arial" w:cs="Arial" w:eastAsia="Arial" w:hAnsi="Arial"/>
                <w:sz w:val="13"/>
                <w:szCs w:val="13"/>
                <w:color w:val="auto"/>
              </w:rPr>
              <w:t>expense</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-4249420</wp:posOffset>
            </wp:positionV>
            <wp:extent cx="713232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-3957955</wp:posOffset>
            </wp:positionV>
            <wp:extent cx="7132320" cy="3600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-3323590</wp:posOffset>
            </wp:positionV>
            <wp:extent cx="713232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-3032125</wp:posOffset>
            </wp:positionV>
            <wp:extent cx="7132320" cy="402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-2355215</wp:posOffset>
            </wp:positionV>
            <wp:extent cx="713232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-1806575</wp:posOffset>
            </wp:positionV>
            <wp:extent cx="713232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-1515110</wp:posOffset>
            </wp:positionV>
            <wp:extent cx="7132320" cy="402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274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112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1"/>
                <w:szCs w:val="11"/>
                <w:color w:val="auto"/>
              </w:rPr>
            </w:pPr>
          </w:p>
        </w:tc>
        <w:tc>
          <w:tcPr>
            <w:tcW w:w="132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62"/>
        </w:trPr>
        <w:tc>
          <w:tcPr>
            <w:tcW w:w="11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4"/>
                <w:szCs w:val="1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1340" w:type="dxa"/>
            <w:vAlign w:val="bottom"/>
            <w:gridSpan w:val="4"/>
          </w:tcPr>
          <w:p>
            <w:pPr>
              <w:jc w:val="center"/>
              <w:ind w:right="437"/>
              <w:spacing w:after="0"/>
              <w:rPr>
                <w:sz w:val="20"/>
                <w:szCs w:val="20"/>
                <w:color w:val="auto"/>
              </w:rPr>
            </w:pPr>
            <w:r>
              <w:rPr>
                <w:rFonts w:ascii="Arial" w:cs="Arial" w:eastAsia="Arial" w:hAnsi="Arial"/>
                <w:sz w:val="13"/>
                <w:szCs w:val="13"/>
                <w:b w:val="1"/>
                <w:bCs w:val="1"/>
                <w:color w:val="auto"/>
                <w:w w:val="88"/>
              </w:rPr>
              <w:t>Accumulated</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Stockholders’</w:t>
            </w:r>
          </w:p>
        </w:tc>
      </w:tr>
      <w:tr>
        <w:trPr>
          <w:trHeight w:val="164"/>
        </w:trPr>
        <w:tc>
          <w:tcPr>
            <w:tcW w:w="11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4"/>
                <w:szCs w:val="14"/>
                <w:color w:val="auto"/>
              </w:rPr>
            </w:pPr>
          </w:p>
        </w:tc>
        <w:tc>
          <w:tcPr>
            <w:tcW w:w="1340" w:type="dxa"/>
            <w:vAlign w:val="bottom"/>
            <w:gridSpan w:val="4"/>
          </w:tcPr>
          <w:p>
            <w:pPr>
              <w:jc w:val="center"/>
              <w:ind w:right="437"/>
              <w:spacing w:after="0"/>
              <w:rPr>
                <w:sz w:val="20"/>
                <w:szCs w:val="20"/>
                <w:color w:val="auto"/>
              </w:rPr>
            </w:pPr>
            <w:r>
              <w:rPr>
                <w:rFonts w:ascii="Arial" w:cs="Arial" w:eastAsia="Arial" w:hAnsi="Arial"/>
                <w:sz w:val="13"/>
                <w:szCs w:val="13"/>
                <w:b w:val="1"/>
                <w:bCs w:val="1"/>
                <w:color w:val="auto"/>
                <w:w w:val="90"/>
              </w:rPr>
              <w:t>Deficit</w:t>
            </w: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r>
      <w:tr>
        <w:trPr>
          <w:trHeight w:val="156"/>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503,475</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(158,131</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345,359</w:t>
            </w:r>
          </w:p>
        </w:tc>
        <w:tc>
          <w:tcPr>
            <w:tcW w:w="40" w:type="dxa"/>
            <w:vAlign w:val="bottom"/>
          </w:tcPr>
          <w:p>
            <w:pPr>
              <w:spacing w:after="0"/>
              <w:rPr>
                <w:sz w:val="13"/>
                <w:szCs w:val="13"/>
                <w:color w:val="auto"/>
              </w:rPr>
            </w:pPr>
          </w:p>
        </w:tc>
      </w:tr>
      <w:tr>
        <w:trPr>
          <w:trHeight w:val="296"/>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6,248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6,248</w:t>
            </w:r>
          </w:p>
        </w:tc>
        <w:tc>
          <w:tcPr>
            <w:tcW w:w="40" w:type="dxa"/>
            <w:vAlign w:val="bottom"/>
          </w:tcPr>
          <w:p>
            <w:pPr>
              <w:spacing w:after="0"/>
              <w:rPr>
                <w:sz w:val="24"/>
                <w:szCs w:val="24"/>
                <w:color w:val="auto"/>
              </w:rPr>
            </w:pPr>
          </w:p>
        </w:tc>
      </w:tr>
      <w:tr>
        <w:trPr>
          <w:trHeight w:val="567"/>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612,016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612,016</w:t>
            </w:r>
          </w:p>
        </w:tc>
        <w:tc>
          <w:tcPr>
            <w:tcW w:w="40" w:type="dxa"/>
            <w:vAlign w:val="bottom"/>
          </w:tcPr>
          <w:p>
            <w:pPr>
              <w:spacing w:after="0"/>
              <w:rPr>
                <w:sz w:val="24"/>
                <w:szCs w:val="24"/>
                <w:color w:val="auto"/>
              </w:rPr>
            </w:pPr>
          </w:p>
        </w:tc>
      </w:tr>
      <w:tr>
        <w:trPr>
          <w:trHeight w:val="432"/>
        </w:trPr>
        <w:tc>
          <w:tcPr>
            <w:tcW w:w="1000" w:type="dxa"/>
            <w:vAlign w:val="bottom"/>
          </w:tcPr>
          <w:p>
            <w:pPr>
              <w:jc w:val="right"/>
              <w:spacing w:after="0"/>
              <w:rPr>
                <w:sz w:val="20"/>
                <w:szCs w:val="20"/>
                <w:color w:val="auto"/>
              </w:rPr>
            </w:pPr>
            <w:r>
              <w:rPr>
                <w:rFonts w:ascii="Arial" w:cs="Arial" w:eastAsia="Arial" w:hAnsi="Arial"/>
                <w:sz w:val="13"/>
                <w:szCs w:val="13"/>
                <w:color w:val="auto"/>
              </w:rPr>
              <w:t>(487 )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(487 )</w:t>
            </w:r>
          </w:p>
        </w:tc>
      </w:tr>
      <w:tr>
        <w:trPr>
          <w:trHeight w:val="297"/>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30,668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30,668</w:t>
            </w:r>
          </w:p>
        </w:tc>
        <w:tc>
          <w:tcPr>
            <w:tcW w:w="40" w:type="dxa"/>
            <w:vAlign w:val="bottom"/>
          </w:tcPr>
          <w:p>
            <w:pPr>
              <w:spacing w:after="0"/>
              <w:rPr>
                <w:sz w:val="24"/>
                <w:szCs w:val="24"/>
                <w:color w:val="auto"/>
              </w:rPr>
            </w:pPr>
          </w:p>
        </w:tc>
      </w:tr>
      <w:tr>
        <w:trPr>
          <w:trHeight w:val="162"/>
        </w:trPr>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4"/>
                <w:szCs w:val="14"/>
                <w:color w:val="auto"/>
              </w:rPr>
            </w:pPr>
          </w:p>
        </w:tc>
      </w:tr>
      <w:tr>
        <w:trPr>
          <w:trHeight w:val="162"/>
        </w:trPr>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(133,096 )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(133,096 )</w:t>
            </w:r>
          </w:p>
        </w:tc>
      </w:tr>
      <w:tr>
        <w:trPr>
          <w:trHeight w:val="156"/>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1,151,920</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(291,227</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860,751</w:t>
            </w:r>
          </w:p>
        </w:tc>
        <w:tc>
          <w:tcPr>
            <w:tcW w:w="40" w:type="dxa"/>
            <w:vAlign w:val="bottom"/>
          </w:tcPr>
          <w:p>
            <w:pPr>
              <w:spacing w:after="0"/>
              <w:rPr>
                <w:sz w:val="13"/>
                <w:szCs w:val="13"/>
                <w:color w:val="auto"/>
              </w:rPr>
            </w:pPr>
          </w:p>
        </w:tc>
      </w:tr>
      <w:tr>
        <w:trPr>
          <w:trHeight w:val="296"/>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7,743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7,743</w:t>
            </w:r>
          </w:p>
        </w:tc>
        <w:tc>
          <w:tcPr>
            <w:tcW w:w="40" w:type="dxa"/>
            <w:vAlign w:val="bottom"/>
          </w:tcPr>
          <w:p>
            <w:pPr>
              <w:spacing w:after="0"/>
              <w:rPr>
                <w:sz w:val="24"/>
                <w:szCs w:val="24"/>
                <w:color w:val="auto"/>
              </w:rPr>
            </w:pPr>
          </w:p>
        </w:tc>
      </w:tr>
      <w:tr>
        <w:trPr>
          <w:trHeight w:val="432"/>
        </w:trPr>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432"/>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484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484</w:t>
            </w:r>
          </w:p>
        </w:tc>
        <w:tc>
          <w:tcPr>
            <w:tcW w:w="40" w:type="dxa"/>
            <w:vAlign w:val="bottom"/>
          </w:tcPr>
          <w:p>
            <w:pPr>
              <w:spacing w:after="0"/>
              <w:rPr>
                <w:sz w:val="24"/>
                <w:szCs w:val="24"/>
                <w:color w:val="auto"/>
              </w:rPr>
            </w:pPr>
          </w:p>
        </w:tc>
      </w:tr>
      <w:tr>
        <w:trPr>
          <w:trHeight w:val="432"/>
        </w:trPr>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297"/>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61,385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61,385</w:t>
            </w:r>
          </w:p>
        </w:tc>
        <w:tc>
          <w:tcPr>
            <w:tcW w:w="40" w:type="dxa"/>
            <w:vAlign w:val="bottom"/>
          </w:tcPr>
          <w:p>
            <w:pPr>
              <w:spacing w:after="0"/>
              <w:rPr>
                <w:sz w:val="24"/>
                <w:szCs w:val="24"/>
                <w:color w:val="auto"/>
              </w:rPr>
            </w:pPr>
          </w:p>
        </w:tc>
      </w:tr>
      <w:tr>
        <w:trPr>
          <w:trHeight w:val="162"/>
        </w:trPr>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(53 )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(53 )</w:t>
            </w:r>
          </w:p>
        </w:tc>
      </w:tr>
      <w:tr>
        <w:trPr>
          <w:trHeight w:val="162"/>
        </w:trPr>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(266,990 )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(266,990 )</w:t>
            </w:r>
          </w:p>
        </w:tc>
      </w:tr>
      <w:tr>
        <w:trPr>
          <w:trHeight w:val="156"/>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1,221,532</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(558,217</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663,320</w:t>
            </w:r>
          </w:p>
        </w:tc>
        <w:tc>
          <w:tcPr>
            <w:tcW w:w="40" w:type="dxa"/>
            <w:vAlign w:val="bottom"/>
          </w:tcPr>
          <w:p>
            <w:pPr>
              <w:spacing w:after="0"/>
              <w:rPr>
                <w:sz w:val="13"/>
                <w:szCs w:val="13"/>
                <w:color w:val="auto"/>
              </w:rPr>
            </w:pPr>
          </w:p>
        </w:tc>
      </w:tr>
      <w:tr>
        <w:trPr>
          <w:trHeight w:val="296"/>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1,770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1,770</w:t>
            </w:r>
          </w:p>
        </w:tc>
        <w:tc>
          <w:tcPr>
            <w:tcW w:w="40" w:type="dxa"/>
            <w:vAlign w:val="bottom"/>
          </w:tcPr>
          <w:p>
            <w:pPr>
              <w:spacing w:after="0"/>
              <w:rPr>
                <w:sz w:val="24"/>
                <w:szCs w:val="24"/>
                <w:color w:val="auto"/>
              </w:rPr>
            </w:pPr>
          </w:p>
        </w:tc>
      </w:tr>
      <w:tr>
        <w:trPr>
          <w:trHeight w:val="432"/>
        </w:trPr>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432"/>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174</w:t>
            </w:r>
          </w:p>
        </w:tc>
        <w:tc>
          <w:tcPr>
            <w:tcW w:w="40" w:type="dxa"/>
            <w:vAlign w:val="bottom"/>
          </w:tcPr>
          <w:p>
            <w:pPr>
              <w:spacing w:after="0"/>
              <w:rPr>
                <w:sz w:val="24"/>
                <w:szCs w:val="24"/>
                <w:color w:val="auto"/>
              </w:rPr>
            </w:pPr>
          </w:p>
        </w:tc>
      </w:tr>
      <w:tr>
        <w:trPr>
          <w:trHeight w:val="432"/>
        </w:trPr>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297"/>
        </w:trPr>
        <w:tc>
          <w:tcPr>
            <w:tcW w:w="1000" w:type="dxa"/>
            <w:vAlign w:val="bottom"/>
          </w:tcPr>
          <w:p>
            <w:pPr>
              <w:jc w:val="right"/>
              <w:ind w:right="57"/>
              <w:spacing w:after="0"/>
              <w:rPr>
                <w:sz w:val="20"/>
                <w:szCs w:val="20"/>
                <w:color w:val="auto"/>
              </w:rPr>
            </w:pPr>
            <w:r>
              <w:rPr>
                <w:rFonts w:ascii="Arial" w:cs="Arial" w:eastAsia="Arial" w:hAnsi="Arial"/>
                <w:sz w:val="13"/>
                <w:szCs w:val="13"/>
                <w:color w:val="auto"/>
              </w:rPr>
              <w:t>106,033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106,033</w:t>
            </w:r>
          </w:p>
        </w:tc>
        <w:tc>
          <w:tcPr>
            <w:tcW w:w="40" w:type="dxa"/>
            <w:vAlign w:val="bottom"/>
          </w:tcPr>
          <w:p>
            <w:pPr>
              <w:spacing w:after="0"/>
              <w:rPr>
                <w:sz w:val="24"/>
                <w:szCs w:val="24"/>
                <w:color w:val="auto"/>
              </w:rPr>
            </w:pPr>
          </w:p>
        </w:tc>
      </w:tr>
      <w:tr>
        <w:trPr>
          <w:trHeight w:val="162"/>
        </w:trPr>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(1,307 )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(1,307 )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-4258310</wp:posOffset>
            </wp:positionV>
            <wp:extent cx="7886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5800" w:space="260"/>
            <w:col w:w="51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(333,823 )</w:t>
            </w:r>
          </w:p>
        </w:tc>
        <w:tc>
          <w:tcPr>
            <w:tcW w:w="3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(333,823 )</w:t>
            </w:r>
          </w:p>
        </w:tc>
      </w:tr>
      <w:tr>
        <w:trPr>
          <w:trHeight w:val="20"/>
        </w:trPr>
        <w:tc>
          <w:tcPr>
            <w:tcW w:w="28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2820" w:type="dxa"/>
            <w:vAlign w:val="bottom"/>
          </w:tcPr>
          <w:p>
            <w:pPr>
              <w:ind w:left="20"/>
              <w:spacing w:after="0"/>
              <w:rPr>
                <w:sz w:val="20"/>
                <w:szCs w:val="20"/>
                <w:color w:val="auto"/>
              </w:rPr>
            </w:pPr>
            <w:r>
              <w:rPr>
                <w:rFonts w:ascii="Arial" w:cs="Arial" w:eastAsia="Arial" w:hAnsi="Arial"/>
                <w:sz w:val="13"/>
                <w:szCs w:val="13"/>
                <w:color w:val="auto"/>
              </w:rPr>
              <w:t>Balances at December 31, 2022</w:t>
            </w:r>
          </w:p>
        </w:tc>
        <w:tc>
          <w:tcPr>
            <w:tcW w:w="1180" w:type="dxa"/>
            <w:vAlign w:val="bottom"/>
          </w:tcPr>
          <w:p>
            <w:pPr>
              <w:jc w:val="right"/>
              <w:spacing w:after="0"/>
              <w:rPr>
                <w:sz w:val="20"/>
                <w:szCs w:val="20"/>
                <w:color w:val="auto"/>
              </w:rPr>
            </w:pPr>
            <w:r>
              <w:rPr>
                <w:rFonts w:ascii="Arial" w:cs="Arial" w:eastAsia="Arial" w:hAnsi="Arial"/>
                <w:sz w:val="13"/>
                <w:szCs w:val="13"/>
                <w:color w:val="auto"/>
              </w:rPr>
              <w:t>52,333,850</w:t>
            </w:r>
          </w:p>
        </w:tc>
        <w:tc>
          <w:tcPr>
            <w:tcW w:w="240" w:type="dxa"/>
            <w:vAlign w:val="bottom"/>
          </w:tcPr>
          <w:p>
            <w:pPr>
              <w:spacing w:after="0"/>
              <w:rPr>
                <w:sz w:val="13"/>
                <w:szCs w:val="13"/>
                <w:color w:val="auto"/>
              </w:rPr>
            </w:pP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3"/>
                <w:szCs w:val="13"/>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1,329,509</w:t>
            </w:r>
          </w:p>
        </w:tc>
        <w:tc>
          <w:tcPr>
            <w:tcW w:w="220" w:type="dxa"/>
            <w:vAlign w:val="bottom"/>
          </w:tcPr>
          <w:p>
            <w:pPr>
              <w:spacing w:after="0"/>
              <w:rPr>
                <w:sz w:val="13"/>
                <w:szCs w:val="13"/>
                <w:color w:val="auto"/>
              </w:rPr>
            </w:pPr>
          </w:p>
        </w:tc>
        <w:tc>
          <w:tcPr>
            <w:tcW w:w="500" w:type="dxa"/>
            <w:vAlign w:val="bottom"/>
          </w:tcPr>
          <w:p>
            <w:pPr>
              <w:jc w:val="right"/>
              <w:ind w:right="357"/>
              <w:spacing w:after="0"/>
              <w:rPr>
                <w:sz w:val="20"/>
                <w:szCs w:val="20"/>
                <w:color w:val="auto"/>
              </w:rPr>
            </w:pPr>
            <w:r>
              <w:rPr>
                <w:rFonts w:ascii="Arial" w:cs="Arial" w:eastAsia="Arial" w:hAnsi="Arial"/>
                <w:sz w:val="13"/>
                <w:szCs w:val="13"/>
                <w:color w:val="auto"/>
                <w:w w:val="82"/>
              </w:rPr>
              <w:t>$</w:t>
            </w:r>
          </w:p>
        </w:tc>
        <w:tc>
          <w:tcPr>
            <w:tcW w:w="1340" w:type="dxa"/>
            <w:vAlign w:val="bottom"/>
            <w:gridSpan w:val="3"/>
          </w:tcPr>
          <w:p>
            <w:pPr>
              <w:jc w:val="right"/>
              <w:ind w:right="300"/>
              <w:spacing w:after="0"/>
              <w:rPr>
                <w:sz w:val="20"/>
                <w:szCs w:val="20"/>
                <w:color w:val="auto"/>
              </w:rPr>
            </w:pPr>
            <w:r>
              <w:rPr>
                <w:rFonts w:ascii="Arial" w:cs="Arial" w:eastAsia="Arial" w:hAnsi="Arial"/>
                <w:sz w:val="13"/>
                <w:szCs w:val="13"/>
                <w:color w:val="auto"/>
              </w:rPr>
              <w:t>(1,307 )   $</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(892,040 )</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436,167</w:t>
            </w:r>
          </w:p>
        </w:tc>
        <w:tc>
          <w:tcPr>
            <w:tcW w:w="100" w:type="dxa"/>
            <w:vAlign w:val="bottom"/>
          </w:tcPr>
          <w:p>
            <w:pPr>
              <w:spacing w:after="0"/>
              <w:rPr>
                <w:sz w:val="13"/>
                <w:szCs w:val="13"/>
                <w:color w:val="auto"/>
              </w:rPr>
            </w:pPr>
          </w:p>
        </w:tc>
      </w:tr>
      <w:tr>
        <w:trPr>
          <w:trHeight w:val="20"/>
        </w:trPr>
        <w:tc>
          <w:tcPr>
            <w:tcW w:w="28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-136525</wp:posOffset>
            </wp:positionV>
            <wp:extent cx="7683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-136525</wp:posOffset>
            </wp:positionV>
            <wp:extent cx="7747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-136525</wp:posOffset>
            </wp:positionV>
            <wp:extent cx="6858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-136525</wp:posOffset>
            </wp:positionV>
            <wp:extent cx="6858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6858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6"/>
          </w:tcPr>
          <w:p>
            <w:pPr>
              <w:jc w:val="right"/>
              <w:ind w:right="184"/>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(333,823 )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144"/>
              <w:spacing w:after="0"/>
              <w:rPr>
                <w:sz w:val="20"/>
                <w:szCs w:val="20"/>
                <w:color w:val="auto"/>
              </w:rPr>
            </w:pPr>
            <w:r>
              <w:rPr>
                <w:rFonts w:ascii="Arial" w:cs="Arial" w:eastAsia="Arial" w:hAnsi="Arial"/>
                <w:sz w:val="16"/>
                <w:szCs w:val="16"/>
                <w:color w:val="auto"/>
              </w:rPr>
              <w:t>(266,990 ) $</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(133,096 )</w:t>
            </w: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106,033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61,385</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30,668</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Loss on disposal of long-lived assets</w:t>
            </w:r>
          </w:p>
        </w:tc>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amortization (accretion) of premium (discount) on marketable securities</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(1,068 )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(51 )</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Settlement of derivative contracts</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(616 )</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operating lease right-of-use asset</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3,731</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Amortization of issuance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(2,744 )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(270 )</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(218 )</w:t>
            </w:r>
          </w:p>
        </w:tc>
      </w:tr>
      <w:tr>
        <w:trPr>
          <w:trHeight w:val="23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1,465</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(1,814 )</w:t>
            </w:r>
          </w:p>
        </w:tc>
      </w:tr>
      <w:tr>
        <w:trPr>
          <w:trHeight w:val="220"/>
        </w:trPr>
        <w:tc>
          <w:tcPr>
            <w:tcW w:w="6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(2,094 )</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5,224</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and other current liabilities</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(2,246 )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13,511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11,748</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380"/>
              <w:spacing w:after="0"/>
              <w:rPr>
                <w:sz w:val="20"/>
                <w:szCs w:val="20"/>
                <w:color w:val="auto"/>
              </w:rPr>
            </w:pPr>
            <w:r>
              <w:rPr>
                <w:rFonts w:ascii="Arial" w:cs="Arial" w:eastAsia="Arial" w:hAnsi="Arial"/>
                <w:sz w:val="16"/>
                <w:szCs w:val="16"/>
                <w:color w:val="auto"/>
              </w:rPr>
              <w:t>Operating lease liability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7,907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(146 )</w:t>
            </w:r>
          </w:p>
        </w:tc>
      </w:tr>
      <w:tr>
        <w:trPr>
          <w:trHeight w:val="23"/>
        </w:trPr>
        <w:tc>
          <w:tcPr>
            <w:tcW w:w="6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6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(206,459 )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(182,270 )</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(83,428 )</w:t>
            </w:r>
          </w:p>
        </w:tc>
      </w:tr>
      <w:tr>
        <w:trPr>
          <w:trHeight w:val="220"/>
        </w:trPr>
        <w:tc>
          <w:tcPr>
            <w:tcW w:w="66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(37,021 )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(17,032 )</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(3,814 )</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Deposits on property and equipment</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(10,342 )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(46,266 )</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(3,184 )</w:t>
            </w: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marketable securities</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(427,766 )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(86,317 )</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Maturities of marketable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198,149</w:t>
            </w:r>
          </w:p>
        </w:tc>
        <w:tc>
          <w:tcPr>
            <w:tcW w:w="100" w:type="dxa"/>
            <w:vAlign w:val="bottom"/>
          </w:tcPr>
          <w:p>
            <w:pPr>
              <w:spacing w:after="0"/>
              <w:rPr>
                <w:sz w:val="19"/>
                <w:szCs w:val="19"/>
                <w:color w:val="auto"/>
              </w:rPr>
            </w:pPr>
          </w:p>
        </w:tc>
      </w:tr>
      <w:tr>
        <w:trPr>
          <w:trHeight w:val="233"/>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derivative activity</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660" w:type="dxa"/>
            <w:vAlign w:val="bottom"/>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(336,513 )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(38,798 )</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104,834</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6660" w:type="dxa"/>
            <w:vAlign w:val="bottom"/>
          </w:tcPr>
          <w:p>
            <w:pPr>
              <w:ind w:left="20"/>
              <w:spacing w:after="0"/>
              <w:rPr>
                <w:sz w:val="20"/>
                <w:szCs w:val="20"/>
                <w:color w:val="auto"/>
              </w:rPr>
            </w:pPr>
            <w:r>
              <w:rPr>
                <w:rFonts w:ascii="Arial" w:cs="Arial" w:eastAsia="Arial" w:hAnsi="Arial"/>
                <w:sz w:val="16"/>
                <w:szCs w:val="16"/>
                <w:color w:val="auto"/>
              </w:rPr>
              <w:t>Proceeds from issuance of common stock in connection with offering,</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6"/>
                <w:szCs w:val="16"/>
                <w:color w:val="auto"/>
              </w:rPr>
              <w:t>net of offering costs</w:t>
            </w: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612,016</w:t>
            </w:r>
          </w:p>
        </w:tc>
        <w:tc>
          <w:tcPr>
            <w:tcW w:w="100" w:type="dxa"/>
            <w:vAlign w:val="bottom"/>
          </w:tcPr>
          <w:p>
            <w:pPr>
              <w:spacing w:after="0"/>
              <w:rPr>
                <w:sz w:val="18"/>
                <w:szCs w:val="18"/>
                <w:color w:val="auto"/>
              </w:rPr>
            </w:pP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upon options exercise</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7,743</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6,248</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Payments for restricted stock units, net of taxes withheld</w:t>
            </w:r>
          </w:p>
        </w:tc>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(487 )</w:t>
            </w: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pursuant to employee stock purchase plan</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Proceeds from sale of future royalties, net of issuance costs</w:t>
            </w:r>
          </w:p>
        </w:tc>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99,643</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 payments of tenant improvement allowance payable</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(45 )</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(38 )</w:t>
            </w:r>
          </w:p>
        </w:tc>
      </w:tr>
      <w:tr>
        <w:trPr>
          <w:trHeight w:val="223"/>
        </w:trPr>
        <w:tc>
          <w:tcPr>
            <w:tcW w:w="6660" w:type="dxa"/>
            <w:vAlign w:val="bottom"/>
          </w:tcPr>
          <w:p>
            <w:pPr>
              <w:ind w:left="20"/>
              <w:spacing w:after="0"/>
              <w:rPr>
                <w:sz w:val="20"/>
                <w:szCs w:val="20"/>
                <w:color w:val="auto"/>
              </w:rPr>
            </w:pPr>
            <w:r>
              <w:rPr>
                <w:rFonts w:ascii="Arial" w:cs="Arial" w:eastAsia="Arial" w:hAnsi="Arial"/>
                <w:sz w:val="16"/>
                <w:szCs w:val="16"/>
                <w:color w:val="auto"/>
              </w:rPr>
              <w:t>Principal payments of finance lease</w:t>
            </w:r>
          </w:p>
        </w:tc>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r>
      <w:tr>
        <w:trPr>
          <w:trHeight w:val="223"/>
        </w:trPr>
        <w:tc>
          <w:tcPr>
            <w:tcW w:w="6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8,182</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717,377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(541,077 )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(212,886 )</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738,783</w:t>
            </w:r>
          </w:p>
        </w:tc>
        <w:tc>
          <w:tcPr>
            <w:tcW w:w="100" w:type="dxa"/>
            <w:vAlign w:val="bottom"/>
          </w:tcPr>
          <w:p>
            <w:pPr>
              <w:spacing w:after="0"/>
              <w:rPr>
                <w:sz w:val="19"/>
                <w:szCs w:val="19"/>
                <w:color w:val="auto"/>
              </w:rPr>
            </w:pPr>
          </w:p>
        </w:tc>
      </w:tr>
      <w:tr>
        <w:trPr>
          <w:trHeight w:val="233"/>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737,834</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950,720</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211,937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196,757</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737,834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950,720</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94"/>
              </w:rPr>
              <w:t>Reconciliation of cash, cash equivalents and restricted cash to consolidated balance sheets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190,433</w:t>
            </w:r>
          </w:p>
        </w:tc>
        <w:tc>
          <w:tcPr>
            <w:tcW w:w="28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731,510</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944,396</w:t>
            </w:r>
          </w:p>
        </w:tc>
        <w:tc>
          <w:tcPr>
            <w:tcW w:w="100" w:type="dxa"/>
            <w:vAlign w:val="bottom"/>
          </w:tcPr>
          <w:p>
            <w:pPr>
              <w:spacing w:after="0"/>
              <w:rPr>
                <w:sz w:val="19"/>
                <w:szCs w:val="19"/>
                <w:color w:val="auto"/>
              </w:rPr>
            </w:pPr>
          </w:p>
        </w:tc>
      </w:tr>
      <w:tr>
        <w:trPr>
          <w:trHeight w:val="233"/>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6,324</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6,324</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Total cash, cash equivalents and restricted cash in consolidated balance sheets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196,757</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737,834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950,720</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(170 )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75,614</w:t>
            </w:r>
          </w:p>
        </w:tc>
        <w:tc>
          <w:tcPr>
            <w:tcW w:w="100" w:type="dxa"/>
            <w:vAlign w:val="bottom"/>
          </w:tcPr>
          <w:p>
            <w:pPr>
              <w:spacing w:after="0"/>
              <w:rPr>
                <w:sz w:val="19"/>
                <w:szCs w:val="19"/>
                <w:color w:val="auto"/>
              </w:rPr>
            </w:pP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and equipment under accounts payable and accruals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2,917</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FF0FC"/>
          </w:tcPr>
          <w:p>
            <w:pPr>
              <w:spacing w:after="0"/>
              <w:rPr>
                <w:sz w:val="20"/>
                <w:szCs w:val="20"/>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Reclassification of deposits to property and equipment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5,363</w:t>
            </w:r>
          </w:p>
        </w:tc>
        <w:tc>
          <w:tcPr>
            <w:tcW w:w="28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Unpaid offering costs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-7418705</wp:posOffset>
            </wp:positionV>
            <wp:extent cx="2056765" cy="1879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56765" cy="18796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-4756785</wp:posOffset>
            </wp:positionV>
            <wp:extent cx="7683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-4756785</wp:posOffset>
            </wp:positionV>
            <wp:extent cx="6858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-3874135</wp:posOffset>
            </wp:positionV>
            <wp:extent cx="76835"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-3874135</wp:posOffset>
            </wp:positionV>
            <wp:extent cx="685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-2262505</wp:posOffset>
            </wp:positionV>
            <wp:extent cx="76835"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-2262505</wp:posOffset>
            </wp:positionV>
            <wp:extent cx="6858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-1962150</wp:posOffset>
            </wp:positionV>
            <wp:extent cx="76835"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-1962150</wp:posOffset>
            </wp:positionV>
            <wp:extent cx="6858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-1345565</wp:posOffset>
            </wp:positionV>
            <wp:extent cx="76835" cy="3257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-1345565</wp:posOffset>
            </wp:positionV>
            <wp:extent cx="68580" cy="3257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3257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32575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Kodiak Sciences Inc. (the “Company”) is a clinical stage biopharmaceutical company committed to researching, developing and commercializing transformative therapeutics to treat high prevalence retinal diseases.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As of December 31, 2022, the Company had cash, cash equivalents and marketable securities of $478.9 million. Although the Company has incurred significant operating losses since inception and expects to continue to incur operating losses and negative operating cash flows for the foreseeable future, the Company believes that the cash, cash equivalents and marketable securities will be sufficient to meet the anticipated operating and capital expenditure requirements for the 12 months following the date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Certain prior period amounts in the consolidated financial statements have been reclassified to conform to the current period presentation.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consolidated financial statements include the Company’s accounts and the accounts of Kodiak Sciences Financing Corporation and Kodiak Sciences China, the Company’s direct wholly owned subsidiaries, incorporated in the United States and Cayman Islands, respectively, and Kodiak Sciences GmbH and Kodiak Sciences Valais GmbH, the Company’s indirect wholly owned subsidiaries, both incorporated in Switzerland. All intercompany accounts and transactions have been eliminated. The functional and reporting currency of the Company and its subsidiaries is the U.S. dollar. The aggregate foreign currency transaction gain (loss) included in determining net loss was $0.3 million, $(0.3) million, and $(0.3) million for the years ended December 31, 2022, 2021 and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research and development of drugs for retinal diseases. The chief operating decision maker reviews financial information on an aggregate basis for purposes of allocating resources and evaluating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and stock-based compensation. Actual results could differ from those estimates.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Global economic and business activities continue to face widespread macroeconomic uncertainties, including health epidemics, labor shortages, bank failures, inflation and monetary supply shifts, recession risks and potential disruptions from the Russia-Ukraine conflict.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spacing w:after="0" w:line="84"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spacing w:after="0" w:line="8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spacing w:after="0" w:line="80"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0" w:firstLine="509"/>
        <w:spacing w:after="0" w:line="26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cash equivalents and marketable securities. As of December 31, 2022 and 2021, cash, cash equivalents and marketable securities were invested primarily in money market funds and U.S. treasury securities through highly rated financial institutions. Investments are restricted, in accordance with the Company’s investment policy, to a concentration limit per issuer or sector.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with stated maturities of three months or less at the date of purchase to be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Company may invest excess cash balances in marketable securities. The investments in marketable securities are classified as either held-to-maturity or available-for-sale based on facts and circumstances present at the time of purchase. Marketable securities with a remaining maturity date greater than one year are classified as non-current. The Company’s marketable securities can consist of U.S. treasury securities, commercial paper, and corporate bonds. Marketable debt securities that are available for sale, are carried at fair value with the unrealized gains and losses included in other comprehensive income (loss) as a component of stockholders’ equity until realized. Any premium or discount arising at purchase of marketable debt securities is amortized and/or accreted to interest income or expense over the life of the instrument. Realized gains and losses are determined using the specific identification method and are included in other income (expense), net.</w:t>
      </w:r>
    </w:p>
    <w:p>
      <w:pPr>
        <w:spacing w:after="0" w:line="69"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consolidated statement of operations and comprehensive loss.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As of December 31, 2022, and 2021, the Company had $6.3 million and $6.3 million, respectively, of long-term restricted cash deposited with financial institutions. The entire amount is held in separate bank accounts to support letter of credit agreements related to the Company’s U.S. corporate offices.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Derivative instruments that do not qualify for hedge accounting are recognized on the consolidated balance sheet at fair value, with changes in the fair value recognized on the consolidated statement of operations and comprehensive loss as a component of other income (expense), net. The cash flows associated with these derivatives are reflected as cash flows from investing activities in the consolidated statement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 xml:space="preserve">Accounting Standards Codification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68"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—Observable inputs, such as quoted prices in active markets for identical assets or liabilities at the measurement date.</w:t>
      </w:r>
    </w:p>
    <w:p>
      <w:pPr>
        <w:spacing w:after="0" w:line="117" w:lineRule="exact"/>
        <w:rPr>
          <w:sz w:val="20"/>
          <w:szCs w:val="20"/>
          <w:color w:val="auto"/>
        </w:rPr>
      </w:pPr>
    </w:p>
    <w:p>
      <w:pPr>
        <w:ind w:right="400" w:firstLine="509"/>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active, or other inputs that are observable or can be corroborated by observable market data for substantially the full term of the assets or liabilities.</w:t>
      </w:r>
    </w:p>
    <w:p>
      <w:pPr>
        <w:spacing w:after="0" w:line="16"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which reflect management’s best estimate of what market participants would use in pricing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Consideration is given to the risk inherent in the valuation technique and inputs to the model.</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right="260" w:firstLine="509"/>
        <w:spacing w:after="0" w:line="308" w:lineRule="auto"/>
        <w:rPr>
          <w:sz w:val="20"/>
          <w:szCs w:val="20"/>
          <w:color w:val="auto"/>
        </w:rPr>
      </w:pPr>
      <w:r>
        <w:rPr>
          <w:rFonts w:ascii="Arial" w:cs="Arial" w:eastAsia="Arial" w:hAnsi="Arial"/>
          <w:sz w:val="17"/>
          <w:szCs w:val="17"/>
          <w:color w:val="auto"/>
        </w:rPr>
        <w:t>The carrying amounts of the Company’s financial instruments consisting of cash and cash equivalents, prepaid expenses and other current assets, accounts payable and accrued liabilities and other current liabilities, approximate fair value due to their relatively short maturities.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consolidated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of the applicable country or region. Variable lease payments are excluded from the right of use assets and operating lease liabilities and are recognized in the period in which the obligation for those payments is incurred.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Property and equipment are stated at cost, net of accumulated depreciation. Construction in progress reflects amounts incurred for construction or improvements of property or equipment that have not been placed in service. Construction in progress is transferred to specific property and equipment and depreciated when these assets are ready for their intended use. Depreciation is computed using the straight-line method over the estimated useful lives of the assets, which generally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280" w:type="dxa"/>
            <w:vAlign w:val="bottom"/>
          </w:tcPr>
          <w:p>
            <w:pPr>
              <w:spacing w:after="0"/>
              <w:rPr>
                <w:sz w:val="20"/>
                <w:szCs w:val="20"/>
                <w:color w:val="auto"/>
              </w:rPr>
            </w:pPr>
          </w:p>
        </w:tc>
        <w:tc>
          <w:tcPr>
            <w:tcW w:w="692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Useful Lives</w:t>
            </w: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FF0FC"/>
          </w:tcPr>
          <w:p>
            <w:pPr>
              <w:spacing w:after="0"/>
              <w:rPr>
                <w:sz w:val="21"/>
                <w:szCs w:val="21"/>
                <w:color w:val="auto"/>
              </w:rPr>
            </w:pPr>
          </w:p>
        </w:tc>
        <w:tc>
          <w:tcPr>
            <w:tcW w:w="6920" w:type="dxa"/>
            <w:vAlign w:val="bottom"/>
            <w:shd w:val="clear" w:color="auto" w:fill="CFF0FC"/>
          </w:tcPr>
          <w:p>
            <w:pPr>
              <w:ind w:left="60"/>
              <w:spacing w:after="0"/>
              <w:rPr>
                <w:sz w:val="20"/>
                <w:szCs w:val="20"/>
                <w:color w:val="auto"/>
              </w:rPr>
            </w:pPr>
            <w:r>
              <w:rPr>
                <w:rFonts w:ascii="Arial" w:cs="Arial" w:eastAsia="Arial" w:hAnsi="Arial"/>
                <w:sz w:val="18"/>
                <w:szCs w:val="18"/>
                <w:color w:val="auto"/>
              </w:rPr>
              <w:t>5 years</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20"/>
                <w:szCs w:val="20"/>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3 to 10 years</w:t>
            </w: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Software and Hardware</w:t>
            </w:r>
          </w:p>
        </w:tc>
        <w:tc>
          <w:tcPr>
            <w:tcW w:w="280" w:type="dxa"/>
            <w:vAlign w:val="bottom"/>
            <w:shd w:val="clear" w:color="auto" w:fill="CFF0FC"/>
          </w:tcPr>
          <w:p>
            <w:pPr>
              <w:spacing w:after="0"/>
              <w:rPr>
                <w:sz w:val="21"/>
                <w:szCs w:val="21"/>
                <w:color w:val="auto"/>
              </w:rPr>
            </w:pPr>
          </w:p>
        </w:tc>
        <w:tc>
          <w:tcPr>
            <w:tcW w:w="6920" w:type="dxa"/>
            <w:vAlign w:val="bottom"/>
            <w:shd w:val="clear" w:color="auto" w:fill="CFF0FC"/>
          </w:tcPr>
          <w:p>
            <w:pPr>
              <w:ind w:left="60"/>
              <w:spacing w:after="0"/>
              <w:rPr>
                <w:sz w:val="20"/>
                <w:szCs w:val="20"/>
                <w:color w:val="auto"/>
              </w:rPr>
            </w:pPr>
            <w:r>
              <w:rPr>
                <w:rFonts w:ascii="Arial" w:cs="Arial" w:eastAsia="Arial" w:hAnsi="Arial"/>
                <w:sz w:val="18"/>
                <w:szCs w:val="18"/>
                <w:color w:val="auto"/>
              </w:rPr>
              <w:t>3 to 5 years</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0"/>
                <w:szCs w:val="20"/>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Lesser of the useful life or the term of the respective lease</w:t>
            </w:r>
          </w:p>
        </w:tc>
      </w:tr>
    </w:tbl>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sale or retirement of assets, the costs and related accumulated depreciation are removed from the consolidated balance sheet and the resulting gain or loss is reflected in operations. Maintenance and repairs are charged to operations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 measured by comparison of the carrying amount to the future undiscounted net cash flows which the assets are expected to generate. If such assets are considered to be impaired, the impairment to be recognized is measured by the amount by which the carrying amount of the assets exceeds the projected discounted future net cash flows arising from the assets. There have been no such impairments of long-lived assets in the years ended December 31, 2022 and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0" w:firstLine="509"/>
        <w:spacing w:after="0" w:line="263" w:lineRule="auto"/>
        <w:rPr>
          <w:sz w:val="20"/>
          <w:szCs w:val="20"/>
          <w:color w:val="auto"/>
        </w:rPr>
      </w:pPr>
      <w:r>
        <w:rPr>
          <w:rFonts w:ascii="Arial" w:cs="Arial" w:eastAsia="Arial" w:hAnsi="Arial"/>
          <w:sz w:val="18"/>
          <w:szCs w:val="18"/>
          <w:color w:val="auto"/>
        </w:rPr>
        <w:t>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depreciation and utilities.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1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The Company has entered into various agreements with various third parties, including clinical investigator sites, contract research organizations (“CROs”) and contract manufacturing organizations (“CMOs”), to provide research and development activities. The Company’s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and other current liabilities on the consolidated balance sheet.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or other assets until the services are rendered.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 xml:space="preserve">The Company accounts for stock-based compensation in accordance with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measures stock-based compensation expense for stock options and restricted stock units granted to its employees, directors and non-employees based on the estimated fair value of the awards on the grant date. The fair value of options is calculated using the Black-Scholes valuation model or the Monte Carlo simulation model, which requires the input of subjective assumptions, including (i) the calculation of expected term of the award, (ii) the expected stock price volatility, (iii) the risk-free interest rate, and (iv) expected dividends.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The expected term is calculated using the simplified method, which is available where there is insufficient historical data about exercise patterns and post-vesting employment termination behavior, and equals the midpoint between the vesting date and maximum contractual expiration date.</w:t>
      </w:r>
    </w:p>
    <w:p>
      <w:pPr>
        <w:spacing w:after="0" w:line="16"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expected volatility is estimated based on the Company's historical information for its common stock and supplemented by the historical stock price volatility of a representative peer group over a period equivalent to the expected term of the equity award.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risk-free interest rate is estimated based on the U.S. Treasury securities with maturity dates commensurate with the expected term of the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never paid, and does not expect to pay, dividends in the foreseeable future.</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expense is recorded on a straight-line basis over the requisite service period, which is generally the vesting period, for the entire award. The Company accounts for forfeitures as they occur.</w:t>
      </w:r>
    </w:p>
    <w:p>
      <w:pPr>
        <w:spacing w:after="0" w:line="62" w:lineRule="exact"/>
        <w:rPr>
          <w:sz w:val="20"/>
          <w:szCs w:val="20"/>
          <w:color w:val="auto"/>
        </w:rPr>
      </w:pPr>
    </w:p>
    <w:p>
      <w:pPr>
        <w:jc w:val="both"/>
        <w:ind w:right="300" w:firstLine="509"/>
        <w:spacing w:after="0" w:line="311" w:lineRule="auto"/>
        <w:rPr>
          <w:sz w:val="20"/>
          <w:szCs w:val="20"/>
          <w:color w:val="auto"/>
        </w:rPr>
      </w:pPr>
      <w:r>
        <w:rPr>
          <w:rFonts w:ascii="Arial" w:cs="Arial" w:eastAsia="Arial" w:hAnsi="Arial"/>
          <w:sz w:val="16"/>
          <w:szCs w:val="16"/>
          <w:color w:val="auto"/>
        </w:rPr>
        <w:t>The Company has certain stock options and restricted stock units that vest in conjunction with certain performance conditions. At each reporting date, the Company is required to evaluate whether achievement of the performance conditions is probable. Compensation expense is recorded over the appropriate service period based upon the Company's assessment of accomplishing each performance provision. Refer to Note 12.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(“NOLs”)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6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Comprehensive loss is composed of net loss and other comprehensive income (loss). Other comprehensive income (loss) consists primarily of unrealized gains and losses on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Sale of Future Royalties</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 xml:space="preserve">On December 1, 2019, the Company and its subsidiary Kodiak Sciences GmbH entered into a funding agreement with Baker Bros. Advisors, LP (“BBA”), which holds more than 5% of the Company’s stock, pursuant to which BBA purchased the right to receive a capped 4.5% royalty on future net sales of tarcocimab, the Company’s anti-VEGF antibody biopolymer conjugate therapy, in exchange for $225.0 million. Under the terms of the funding agreement, there is no obligation to repay any funding amount received, other than through the capped royalty payments on future product revenues. The Company recorded the funding amount paid by BBA as a liability on the consolidated balance sheet net of issuance costs,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Under ASC 730, the significant related party relationship between the Company and BBA creates an implicit obligation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In July 2021, the funding agreement was amended, at the Company’s request, that the remaining funding amount of $125.0 million would not be paid. Refer to Note 15.</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 – Available-for-Sale Debt Securities</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For available-for-sale debt securities in an unrealized loss position, the Company will periodically assess its portfolio for impairment. The assessment first considers the intent or requirement to sell the security. If either of these criteria are met, the amortized cost basis will be written down to fair value through earnings.</w:t>
      </w:r>
    </w:p>
    <w:p>
      <w:pPr>
        <w:spacing w:after="0" w:line="76"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If not met, the Company will evaluate whether the decline resulted from credit losses or other factors by considering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impairment that has not been recorded through an allowance for credit losses is recognized in other comprehensive income or loss, as applicable.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Since the Company has reported net loss for all periods presented, diluted net loss per share is the same as basic net loss per common share for those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under its ASC or other standard setting bodies, and adopted by the Company as of the specified effective date. There have been no new accounting pronouncements issued nor adopted during the year ended December 31, 2022 that are of significance to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3. Property and Equipment, net</w:t>
            </w:r>
          </w:p>
        </w:tc>
        <w:tc>
          <w:tcPr>
            <w:tcW w:w="1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060" w:type="dxa"/>
            <w:vAlign w:val="bottom"/>
          </w:tcPr>
          <w:p>
            <w:pPr>
              <w:ind w:left="52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60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060" w:type="dxa"/>
            <w:vAlign w:val="bottom"/>
          </w:tcPr>
          <w:p>
            <w:pPr>
              <w:spacing w:after="0"/>
              <w:rPr>
                <w:sz w:val="20"/>
                <w:szCs w:val="20"/>
                <w:color w:val="auto"/>
              </w:rPr>
            </w:pP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780" w:type="dxa"/>
            <w:vAlign w:val="bottom"/>
            <w:shd w:val="clear" w:color="auto" w:fill="CFF0FC"/>
          </w:tcPr>
          <w:p>
            <w:pPr>
              <w:jc w:val="right"/>
              <w:ind w:right="15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7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12,763</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0"/>
                <w:szCs w:val="20"/>
                <w:color w:val="auto"/>
              </w:rPr>
            </w:pPr>
          </w:p>
        </w:tc>
      </w:tr>
      <w:tr>
        <w:trPr>
          <w:trHeight w:val="249"/>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Software and Hardware</w:t>
            </w:r>
          </w:p>
        </w:tc>
        <w:tc>
          <w:tcPr>
            <w:tcW w:w="17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Leasehold Improvement</w:t>
            </w:r>
          </w:p>
        </w:tc>
        <w:tc>
          <w:tcPr>
            <w:tcW w:w="17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43,483</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7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17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63,108</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44,269</w:t>
            </w:r>
          </w:p>
        </w:tc>
        <w:tc>
          <w:tcPr>
            <w:tcW w:w="100" w:type="dxa"/>
            <w:vAlign w:val="bottom"/>
          </w:tcPr>
          <w:p>
            <w:pPr>
              <w:spacing w:after="0"/>
              <w:rPr>
                <w:sz w:val="20"/>
                <w:szCs w:val="20"/>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7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(6,724 )</w:t>
            </w:r>
          </w:p>
        </w:tc>
        <w:tc>
          <w:tcPr>
            <w:tcW w:w="38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(2,939 )</w:t>
            </w:r>
          </w:p>
        </w:tc>
      </w:tr>
      <w:tr>
        <w:trPr>
          <w:trHeight w:val="237"/>
        </w:trPr>
        <w:tc>
          <w:tcPr>
            <w:tcW w:w="60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Property and equipment, net</w:t>
            </w:r>
          </w:p>
        </w:tc>
        <w:tc>
          <w:tcPr>
            <w:tcW w:w="1780" w:type="dxa"/>
            <w:vAlign w:val="bottom"/>
            <w:tcBorders>
              <w:top w:val="single" w:sz="8" w:color="auto"/>
              <w:bottom w:val="single" w:sz="8" w:color="auto"/>
            </w:tcBorders>
          </w:tcPr>
          <w:p>
            <w:pPr>
              <w:jc w:val="right"/>
              <w:ind w:right="15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56,384</w:t>
            </w:r>
          </w:p>
        </w:tc>
        <w:tc>
          <w:tcPr>
            <w:tcW w:w="3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41,330</w:t>
            </w:r>
          </w:p>
        </w:tc>
        <w:tc>
          <w:tcPr>
            <w:tcW w:w="100" w:type="dxa"/>
            <w:vAlign w:val="bottom"/>
            <w:tcBorders>
              <w:top w:val="single" w:sz="8" w:color="CFF0FC"/>
            </w:tcBorders>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-505460</wp:posOffset>
            </wp:positionV>
            <wp:extent cx="6858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-187960</wp:posOffset>
            </wp:positionV>
            <wp:extent cx="6858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All property and equipment are maintained in the United States and Switzerland. Depreciation expense was $3.8 million, $1.0 million and $0.5 million for the years ended December 31, 2022, 2021 and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4. Accrued and Other Current 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60" w:type="dxa"/>
            <w:vAlign w:val="bottom"/>
            <w:gridSpan w:val="2"/>
          </w:tcPr>
          <w:p>
            <w:pPr>
              <w:ind w:left="520"/>
              <w:spacing w:after="0"/>
              <w:rPr>
                <w:sz w:val="20"/>
                <w:szCs w:val="20"/>
                <w:color w:val="auto"/>
              </w:rPr>
            </w:pPr>
            <w:r>
              <w:rPr>
                <w:rFonts w:ascii="Arial" w:cs="Arial" w:eastAsia="Arial" w:hAnsi="Arial"/>
                <w:sz w:val="18"/>
                <w:szCs w:val="18"/>
                <w:color w:val="auto"/>
                <w:w w:val="93"/>
              </w:rPr>
              <w:t>Accrued and other current liabilities consist of the following (in thousands):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2"/>
              </w:rPr>
              <w:t>December 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clinical trial and related costs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18,334</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6,033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manufacturing and research &amp; development costs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Accrued leasehold improvements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1,893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legal fees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other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33,440</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5. Fair Value Measurements</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340" w:type="dxa"/>
            <w:vAlign w:val="bottom"/>
            <w:gridSpan w:val="13"/>
          </w:tcPr>
          <w:p>
            <w:pPr>
              <w:ind w:left="520"/>
              <w:spacing w:after="0"/>
              <w:rPr>
                <w:sz w:val="20"/>
                <w:szCs w:val="20"/>
                <w:color w:val="auto"/>
              </w:rPr>
            </w:pPr>
            <w:r>
              <w:rPr>
                <w:rFonts w:ascii="Arial" w:cs="Arial" w:eastAsia="Arial" w:hAnsi="Arial"/>
                <w:sz w:val="18"/>
                <w:szCs w:val="18"/>
                <w:color w:val="auto"/>
                <w:w w:val="92"/>
              </w:rPr>
              <w:t>The following tables present the Company’s fair value hierarchy for assets measured at fair value on a recurring basis (in thousands):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1"/>
          </w:tcPr>
          <w:p>
            <w:pPr>
              <w:ind w:left="580"/>
              <w:spacing w:after="0"/>
              <w:rPr>
                <w:sz w:val="20"/>
                <w:szCs w:val="20"/>
                <w:color w:val="auto"/>
              </w:rPr>
            </w:pPr>
            <w:r>
              <w:rPr>
                <w:rFonts w:ascii="Arial" w:cs="Arial" w:eastAsia="Arial" w:hAnsi="Arial"/>
                <w:sz w:val="18"/>
                <w:szCs w:val="18"/>
                <w:b w:val="1"/>
                <w:bCs w:val="1"/>
                <w:color w:val="auto"/>
                <w:w w:val="90"/>
              </w:rPr>
              <w:t>Fair Value Measurements at December 31, 2022</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Level 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173,617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288,500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173,617</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288,500</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462,117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1"/>
          </w:tcPr>
          <w:p>
            <w:pPr>
              <w:ind w:left="580"/>
              <w:spacing w:after="0"/>
              <w:rPr>
                <w:sz w:val="20"/>
                <w:szCs w:val="20"/>
                <w:color w:val="auto"/>
              </w:rPr>
            </w:pPr>
            <w:r>
              <w:rPr>
                <w:rFonts w:ascii="Arial" w:cs="Arial" w:eastAsia="Arial" w:hAnsi="Arial"/>
                <w:sz w:val="18"/>
                <w:szCs w:val="18"/>
                <w:b w:val="1"/>
                <w:bCs w:val="1"/>
                <w:color w:val="auto"/>
                <w:w w:val="90"/>
              </w:rPr>
              <w:t>Fair Value Measurements at December 31, 2021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Level 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706,703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706,703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706,703</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-2862580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-1165225</wp:posOffset>
            </wp:positionV>
            <wp:extent cx="2708910" cy="8229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08910" cy="822960"/>
                    </a:xfrm>
                    <a:prstGeom prst="rect">
                      <a:avLst/>
                    </a:prstGeom>
                    <a:noFill/>
                  </pic:spPr>
                </pic:pic>
              </a:graphicData>
            </a:graphic>
          </wp:anchor>
        </w:drawing>
      </w:r>
    </w:p>
    <w:p>
      <w:pPr>
        <w:spacing w:after="0" w:line="87"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As of December 31, 2022 and 2021, the fair value of the liability related to sale of future royalties is based on our current estimates of future royalties expected to be paid to BBA, which are considered Level 3 inputs. Refer to Note 15. There were no transfers of assets or liabilities between the fair value measurement levels during the years ended December 31, 2022 and 2021.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marketable securities are classified as available-for-sale and consist of U.S. treasury securities.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marketable securities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Amortized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4"/>
              </w:rPr>
              <w:t>Unrealized</w:t>
            </w:r>
          </w:p>
        </w:tc>
        <w:tc>
          <w:tcPr>
            <w:tcW w:w="24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r>
      <w:tr>
        <w:trPr>
          <w:trHeight w:val="248"/>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4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1"/>
                <w:szCs w:val="21"/>
                <w:color w:val="auto"/>
              </w:rPr>
            </w:pPr>
          </w:p>
        </w:tc>
      </w:tr>
      <w:tr>
        <w:trPr>
          <w:trHeight w:val="23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289,807</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288,500</w:t>
            </w:r>
          </w:p>
        </w:tc>
        <w:tc>
          <w:tcPr>
            <w:tcW w:w="100" w:type="dxa"/>
            <w:vAlign w:val="bottom"/>
            <w:shd w:val="clear" w:color="auto" w:fill="CFF0FC"/>
          </w:tcPr>
          <w:p>
            <w:pPr>
              <w:spacing w:after="0"/>
              <w:rPr>
                <w:sz w:val="20"/>
                <w:szCs w:val="20"/>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289,807</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288,500</w:t>
            </w:r>
          </w:p>
        </w:tc>
        <w:tc>
          <w:tcPr>
            <w:tcW w:w="10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Company had no marketable securities as of December 31, 2021. All marketable securities held as of December 31, 2022 had effective maturities of less than one year. The unrealized losses for marketable securities related to changes in interest rates. No allowance for credit losses was recorded and no impairment losses were recognized for the year ended December 31, 2022. The Company did not realize any gains or losses recognized on the sale or maturity of available-for-sale debt securities during the year ended December 31, 2022 and as a result, the Company did not reclassify any amounts out of accumulated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w:t>
      </w:r>
    </w:p>
    <w:p>
      <w:pPr>
        <w:spacing w:after="0" w:line="121"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Starting 2022, the Company uses certain derivative instruments, that are not designated as hedges for accounting purposes, which include foreign currency forward contracts. The Company uses standard models with market-based inputs which include exchange rate curves of the foreign currency for translating future cash flows. Although these derivatives do not qualify for hedge accounting, the Company believes that such instruments are closely correlated with the underlying exposure, thus managing the associated risk. As of December 31, 2022, these derivatives have been net settled.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Palo Alto, California Leases</w:t>
      </w:r>
    </w:p>
    <w:p>
      <w:pPr>
        <w:spacing w:after="0" w:line="117"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In June 2020, the Company entered into lease agreements for two buildings at 1200 and 1250 Page Mill Road in Palo Alto, California, which are now the Company’s U.S. corporate offices. The facilities are approximately 82,662 square feet and 72,812 square feet, respectively and include office and laboratory space. For 1200 Page Mill Road, the monthly rent during the initial 6.5-year term will be approximately $0.6 million, with annual year-over-year increases of 3% plus certain operating expenses and taxes and total rent abatement of approximately $7.2 million. The Company has an option to extend the lease term for a period of 6.5 years. For 1250 Page Mill Road, the monthly rent during the initial 13-year term will be approximately $0.5 million, with annual year-over-year increases of 3% plus certain operating expenses and taxes and total rent abatement of approximately $6.3 million. The Landlord will provide a tenant improvement allowance of approximately $1.2 million and $10.6 million for each building, respectively. The Company has two options to extend the lease term for a period of 5 years each. The Company determined that the renewal options were not reasonably certain at lease inception for the two buildings. The Company executed a $10.9 million cash-collateralized letter of credit, which was subsequently reduced to $6.2 million as a result of meeting certain reduction requirements specified therein in 2020. The cash collateralizing the letter of credit is classified as restricted cash on the Company’s consolidated balance sheet. Under ASC 842, the Company classified these leases as operating leases and recorded right-of-use assets and lease liabilities on the lease commencement date. As of December 31, 2022, the Company received a tenant improvement allowance of $10.2 million.</w:t>
      </w:r>
    </w:p>
    <w:p>
      <w:pPr>
        <w:spacing w:after="0" w:line="60"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Company continues to lease office and laboratory space at 2631 Hanover Street in Palo Alto, California. The Company entered into a lease agreement in January 2013 which was amended in March 2016 and extended the lease term until October 2023. The Company classified this lease as an operating lease and recorded a right-of-use asset and lease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ind w:right="6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 Lease</w:t>
      </w:r>
    </w:p>
    <w:p>
      <w:pPr>
        <w:spacing w:after="0" w:line="117"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In April 2020, the Company entered into a lease agreement for office and laboratory space at Rottenstrasse 5 in Visp, Switzerland. The space is approximately 1,000 square meters. The initial lease term is 5 years, with automatic renewals every 5 years for a maximum lease term of 15 years. The monthly rent during the initial 5-year term will be approximately 32.0 thousand Swiss Francs plus certain operating expenses and taxes. Under ASC 842, the Company classified these leases as operating leases and recorded right-of-use assets and lease liabilities on the lease commencement date.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ind w:left="520"/>
              <w:spacing w:after="0"/>
              <w:rPr>
                <w:sz w:val="20"/>
                <w:szCs w:val="20"/>
                <w:color w:val="auto"/>
              </w:rPr>
            </w:pPr>
            <w:r>
              <w:rPr>
                <w:rFonts w:ascii="Arial" w:cs="Arial" w:eastAsia="Arial" w:hAnsi="Arial"/>
                <w:sz w:val="18"/>
                <w:szCs w:val="18"/>
                <w:color w:val="auto"/>
                <w:w w:val="98"/>
              </w:rPr>
              <w:t>The maturities of the operating lease liabilities as of December 31, 2022 were as follows (in thousands):</w:t>
            </w:r>
          </w:p>
        </w:tc>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3"/>
        </w:trPr>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rPr>
              <w:t>As of</w:t>
            </w:r>
          </w:p>
        </w:tc>
      </w:tr>
      <w:tr>
        <w:trPr>
          <w:trHeight w:val="248"/>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tcPr>
          <w:p>
            <w:pPr>
              <w:spacing w:after="0"/>
              <w:rPr>
                <w:sz w:val="21"/>
                <w:szCs w:val="21"/>
                <w:color w:val="auto"/>
              </w:rPr>
            </w:pPr>
          </w:p>
        </w:tc>
        <w:tc>
          <w:tcPr>
            <w:tcW w:w="2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December 31, 2022</w:t>
            </w:r>
          </w:p>
        </w:tc>
      </w:tr>
      <w:tr>
        <w:trPr>
          <w:trHeight w:val="237"/>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15,592</w:t>
            </w:r>
          </w:p>
        </w:tc>
        <w:tc>
          <w:tcPr>
            <w:tcW w:w="100" w:type="dxa"/>
            <w:vAlign w:val="bottom"/>
            <w:shd w:val="clear" w:color="auto" w:fill="CFF0FC"/>
          </w:tcPr>
          <w:p>
            <w:pPr>
              <w:spacing w:after="0"/>
              <w:rPr>
                <w:sz w:val="20"/>
                <w:szCs w:val="20"/>
                <w:color w:val="auto"/>
              </w:rPr>
            </w:pP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15,020</w:t>
            </w:r>
          </w:p>
        </w:tc>
        <w:tc>
          <w:tcPr>
            <w:tcW w:w="100" w:type="dxa"/>
            <w:vAlign w:val="bottom"/>
          </w:tcPr>
          <w:p>
            <w:pPr>
              <w:spacing w:after="0"/>
              <w:rPr>
                <w:sz w:val="20"/>
                <w:szCs w:val="20"/>
                <w:color w:val="auto"/>
              </w:rPr>
            </w:pPr>
          </w:p>
        </w:tc>
      </w:tr>
      <w:tr>
        <w:trPr>
          <w:trHeight w:val="249"/>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21"/>
                <w:szCs w:val="21"/>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15,458</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15,909</w:t>
            </w:r>
          </w:p>
        </w:tc>
        <w:tc>
          <w:tcPr>
            <w:tcW w:w="100" w:type="dxa"/>
            <w:vAlign w:val="bottom"/>
          </w:tcPr>
          <w:p>
            <w:pPr>
              <w:spacing w:after="0"/>
              <w:rPr>
                <w:sz w:val="20"/>
                <w:szCs w:val="20"/>
                <w:color w:val="auto"/>
              </w:rPr>
            </w:pPr>
          </w:p>
        </w:tc>
      </w:tr>
      <w:tr>
        <w:trPr>
          <w:trHeight w:val="249"/>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FF0FC"/>
          </w:tcPr>
          <w:p>
            <w:pPr>
              <w:spacing w:after="0"/>
              <w:rPr>
                <w:sz w:val="21"/>
                <w:szCs w:val="21"/>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46,184</w:t>
            </w:r>
          </w:p>
        </w:tc>
        <w:tc>
          <w:tcPr>
            <w:tcW w:w="100" w:type="dxa"/>
            <w:vAlign w:val="bottom"/>
          </w:tcPr>
          <w:p>
            <w:pPr>
              <w:spacing w:after="0"/>
              <w:rPr>
                <w:sz w:val="20"/>
                <w:szCs w:val="20"/>
                <w:color w:val="auto"/>
              </w:rPr>
            </w:pPr>
          </w:p>
        </w:tc>
      </w:tr>
      <w:tr>
        <w:trPr>
          <w:trHeight w:val="243"/>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undiscounted lease payments</w:t>
            </w:r>
          </w:p>
        </w:tc>
        <w:tc>
          <w:tcPr>
            <w:tcW w:w="320" w:type="dxa"/>
            <w:vAlign w:val="bottom"/>
            <w:shd w:val="clear" w:color="auto" w:fill="CFF0FC"/>
          </w:tcPr>
          <w:p>
            <w:pPr>
              <w:spacing w:after="0"/>
              <w:rPr>
                <w:sz w:val="21"/>
                <w:szCs w:val="21"/>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117,346</w:t>
            </w:r>
          </w:p>
        </w:tc>
        <w:tc>
          <w:tcPr>
            <w:tcW w:w="100" w:type="dxa"/>
            <w:vAlign w:val="bottom"/>
            <w:shd w:val="clear" w:color="auto" w:fill="CFF0FC"/>
          </w:tcPr>
          <w:p>
            <w:pPr>
              <w:spacing w:after="0"/>
              <w:rPr>
                <w:sz w:val="21"/>
                <w:szCs w:val="21"/>
                <w:color w:val="auto"/>
              </w:rPr>
            </w:pP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20"/>
                <w:szCs w:val="20"/>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(28,055 )</w:t>
            </w:r>
          </w:p>
        </w:tc>
      </w:tr>
      <w:tr>
        <w:trPr>
          <w:trHeight w:val="243"/>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future tenant improvement reimbursements</w:t>
            </w:r>
          </w:p>
        </w:tc>
        <w:tc>
          <w:tcPr>
            <w:tcW w:w="32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(1,558 )</w:t>
            </w:r>
          </w:p>
        </w:tc>
      </w:tr>
      <w:tr>
        <w:trPr>
          <w:trHeight w:val="236"/>
        </w:trPr>
        <w:tc>
          <w:tcPr>
            <w:tcW w:w="8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87,733</w:t>
            </w:r>
          </w:p>
        </w:tc>
        <w:tc>
          <w:tcPr>
            <w:tcW w:w="100" w:type="dxa"/>
            <w:vAlign w:val="bottom"/>
            <w:tcBorders>
              <w:top w:val="single" w:sz="8" w:color="CFF0FC"/>
            </w:tcBorders>
          </w:tcPr>
          <w:p>
            <w:pPr>
              <w:spacing w:after="0"/>
              <w:rPr>
                <w:sz w:val="20"/>
                <w:szCs w:val="20"/>
                <w:color w:val="auto"/>
              </w:rPr>
            </w:pP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7"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minimum lease payments above do not include any related common area maintenance charges or real estate taxes. The operating lease expense for the years ended December 31, 2022, 2021 and 2020 were $12.8 million, $12.8 million and $6.1 million, respectively. The weighted-average remaining lease terms and weighted-average discount rates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156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56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7"/>
              </w:rPr>
              <w:t>8.4</w:t>
            </w:r>
          </w:p>
        </w:tc>
        <w:tc>
          <w:tcPr>
            <w:tcW w:w="240" w:type="dxa"/>
            <w:vAlign w:val="bottom"/>
            <w:shd w:val="clear" w:color="auto" w:fill="CFF0FC"/>
          </w:tcPr>
          <w:p>
            <w:pPr>
              <w:spacing w:after="0"/>
              <w:rPr>
                <w:sz w:val="21"/>
                <w:szCs w:val="21"/>
                <w:color w:val="auto"/>
              </w:rPr>
            </w:pPr>
          </w:p>
        </w:tc>
        <w:tc>
          <w:tcPr>
            <w:tcW w:w="1880" w:type="dxa"/>
            <w:vAlign w:val="bottom"/>
            <w:tcBorders>
              <w:top w:val="single" w:sz="8" w:color="auto"/>
            </w:tcBorders>
            <w:shd w:val="clear" w:color="auto" w:fill="CFF0FC"/>
          </w:tcPr>
          <w:p>
            <w:pPr>
              <w:ind w:left="1640"/>
              <w:spacing w:after="0"/>
              <w:rPr>
                <w:sz w:val="20"/>
                <w:szCs w:val="20"/>
                <w:color w:val="auto"/>
              </w:rPr>
            </w:pPr>
            <w:r>
              <w:rPr>
                <w:rFonts w:ascii="Arial" w:cs="Arial" w:eastAsia="Arial" w:hAnsi="Arial"/>
                <w:sz w:val="18"/>
                <w:szCs w:val="18"/>
                <w:color w:val="auto"/>
                <w:w w:val="87"/>
              </w:rPr>
              <w:t>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w w:val="99"/>
              </w:rPr>
              <w:t>6.8 %</w:t>
            </w:r>
          </w:p>
        </w:tc>
        <w:tc>
          <w:tcPr>
            <w:tcW w:w="2040" w:type="dxa"/>
            <w:vAlign w:val="bottom"/>
            <w:gridSpan w:val="3"/>
          </w:tcPr>
          <w:p>
            <w:pPr>
              <w:ind w:left="1640"/>
              <w:spacing w:after="0"/>
              <w:rPr>
                <w:sz w:val="20"/>
                <w:szCs w:val="20"/>
                <w:color w:val="auto"/>
              </w:rPr>
            </w:pPr>
            <w:r>
              <w:rPr>
                <w:rFonts w:ascii="Arial" w:cs="Arial" w:eastAsia="Arial" w:hAnsi="Arial"/>
                <w:sz w:val="18"/>
                <w:szCs w:val="18"/>
                <w:color w:val="auto"/>
                <w:w w:val="82"/>
              </w:rPr>
              <w:t>6.7 %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Lease</w:t>
      </w:r>
    </w:p>
    <w:p>
      <w:pPr>
        <w:spacing w:after="0" w:line="117"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In August 2020, the Company and its wholly-owned subsidiary Kodiak Sciences GmbH entered into a manufacturing agreement with Lonza Ltd (“Lonza”) for the clinical and commercial supply of drug substance for tarcocimab. A custom-built manufacturing facility is planned to be completed and dedicated to the manufacture of the Company’s drug substance. The manufacturing agreement has an initial term of eight years, and the Company has the right to extend the term up to a total of 16 years. The Company and Lonza each has the ability to terminate this agreement upon the occurrence of certain conditions.</w:t>
      </w:r>
    </w:p>
    <w:p>
      <w:pPr>
        <w:spacing w:after="0" w:line="80"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In April 2021, the agreement was amended to provide for higher annual manufacturing capacity. The Company expanded and finalized the design and scope of the bioconjugate manufacturing facility with a revised estimated capital contribution of approximately 75.0 million Swiss Francs of which the Company has paid 40.0 million Swiss Francs of the capital contribution, equivalent to 44.1 million U.S. Dollars, which is recorded in other assets on the consolidated balance sheet as of December 31, 2022. Over the period from 2022 through 2029, manufacturing payments totaling approximately 150.0 million Swiss Francs may be incurred for potential commercial supply of tarcocimab drug substance. These commitments are not included in the operating lease liabilities table above.</w:t>
      </w:r>
    </w:p>
    <w:p>
      <w:pPr>
        <w:spacing w:after="0" w:line="8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Company concluded that this agreement contains an embedded lease as the custom-built manufacturing suite will be dedicated for the Company’s use. As of December 31, 2022, the Company did not have control of this manufacturing space and therefore, did not record a right-of-use asset and corresponding lease liability. On January 31, 2023, the custom-built manufacturing suite was commissioned as a cGMP facility and the right-of-use asset and corresponding lease liability were subsequently recorded.</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84" w:lineRule="exact"/>
        <w:rPr>
          <w:sz w:val="20"/>
          <w:szCs w:val="20"/>
          <w:color w:val="auto"/>
        </w:rPr>
      </w:pPr>
    </w:p>
    <w:p>
      <w:pPr>
        <w:ind w:right="300" w:firstLine="509"/>
        <w:spacing w:after="0" w:line="257" w:lineRule="auto"/>
        <w:rPr>
          <w:sz w:val="20"/>
          <w:szCs w:val="20"/>
          <w:color w:val="auto"/>
        </w:rPr>
      </w:pPr>
      <w:r>
        <w:rPr>
          <w:rFonts w:ascii="Arial" w:cs="Arial" w:eastAsia="Arial" w:hAnsi="Arial"/>
          <w:sz w:val="18"/>
          <w:szCs w:val="18"/>
          <w:color w:val="auto"/>
        </w:rPr>
        <w:t>As of December 31, 2022 and 2021, the total amount of contractual obligations related to these manufacturing agreements that are subject to cancellation fees, including accrued amounts, were $56.8 million and $69.5 million, respectively. These amounts represent our minimal contractual obligations, excluding the commitments under the embedded lease arrangement. Purchases under these manufacturing agreements for the years ended December 31, 2022, 2021 and 2020 were $47.4 million, $31.8 million and $16.8 million, respectively. As of December 31, 2022, the Company had not incurred any cancellation fees under the manufacturing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79"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Improvement Allowance Payable</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March 2016, the Company entered into a lease amendment, under which the Company is allowed to draw down an additional allowance of $0.4 million for tenant improvements related to the office lease over the period from the execution of the agreement to October 2023. The interest rate is 8% per year over 10 years. Principal and interest are payable on the first day of every month.</w:t>
      </w:r>
    </w:p>
    <w:p>
      <w:pPr>
        <w:spacing w:after="0" w:line="76"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As of December 31, 2022 and 2021, the current portion of the tenant improvement allowance payable in accrued and other current liabilities was less than $0.1 million and less than $0.1 million, respectively. As of December 31, 2022 and 2021, the non-current portion of the tenant improvement allowance payable in other liabilities was $0.2 million and $0.2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9. Income Taxes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460" w:type="dxa"/>
            <w:vAlign w:val="bottom"/>
          </w:tcPr>
          <w:p>
            <w:pPr>
              <w:ind w:left="520"/>
              <w:spacing w:after="0"/>
              <w:rPr>
                <w:sz w:val="20"/>
                <w:szCs w:val="20"/>
                <w:color w:val="auto"/>
              </w:rPr>
            </w:pPr>
            <w:r>
              <w:rPr>
                <w:rFonts w:ascii="Arial" w:cs="Arial" w:eastAsia="Arial" w:hAnsi="Arial"/>
                <w:sz w:val="18"/>
                <w:szCs w:val="18"/>
                <w:color w:val="auto"/>
                <w:w w:val="97"/>
              </w:rPr>
              <w:t>The components of loss before income taxes were as follows (in thousands):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6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24"/>
                <w:szCs w:val="24"/>
                <w:color w:val="auto"/>
              </w:rPr>
            </w:pPr>
          </w:p>
        </w:tc>
        <w:tc>
          <w:tcPr>
            <w:tcW w:w="15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24"/>
                <w:szCs w:val="24"/>
                <w:color w:val="auto"/>
              </w:rPr>
            </w:pPr>
          </w:p>
        </w:tc>
        <w:tc>
          <w:tcPr>
            <w:tcW w:w="136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50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6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4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(163,240</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0"/>
                <w:szCs w:val="20"/>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(170,550 )</w:t>
            </w:r>
          </w:p>
        </w:tc>
        <w:tc>
          <w:tcPr>
            <w:tcW w:w="140" w:type="dxa"/>
            <w:vAlign w:val="bottom"/>
          </w:tcPr>
          <w:p>
            <w:pPr>
              <w:spacing w:after="0"/>
              <w:rPr>
                <w:sz w:val="20"/>
                <w:szCs w:val="20"/>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(220,326 )</w:t>
            </w: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(115,809 )</w:t>
            </w:r>
          </w:p>
        </w:tc>
      </w:tr>
      <w:tr>
        <w:trPr>
          <w:trHeight w:val="277"/>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loss before income taxes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(333,790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(266,916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-25400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(benefit) for income taxes consists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2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2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r>
      <w:tr>
        <w:trPr>
          <w:trHeight w:val="241"/>
        </w:trPr>
        <w:tc>
          <w:tcPr>
            <w:tcW w:w="6460" w:type="dxa"/>
            <w:vAlign w:val="bottom"/>
          </w:tcPr>
          <w:p>
            <w:pPr>
              <w:spacing w:after="0"/>
              <w:rPr>
                <w:sz w:val="20"/>
                <w:szCs w:val="20"/>
                <w:color w:val="auto"/>
              </w:rPr>
            </w:pPr>
          </w:p>
        </w:tc>
        <w:tc>
          <w:tcPr>
            <w:tcW w:w="1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4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Federal</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10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Foreign</w:t>
            </w: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33</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89"/>
              </w:rPr>
              <w:t>74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20"/>
                <w:szCs w:val="20"/>
                <w:color w:val="auto"/>
              </w:rPr>
            </w:pPr>
          </w:p>
        </w:tc>
      </w:tr>
      <w:tr>
        <w:trPr>
          <w:trHeight w:val="243"/>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w:t>
            </w: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89"/>
              </w:rPr>
              <w:t>33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9"/>
              </w:rPr>
              <w:t>74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FF0FC"/>
          </w:tcPr>
          <w:p>
            <w:pPr>
              <w:spacing w:after="0"/>
              <w:rPr>
                <w:sz w:val="21"/>
                <w:szCs w:val="21"/>
                <w:color w:val="auto"/>
              </w:rPr>
            </w:pPr>
          </w:p>
        </w:tc>
      </w:tr>
      <w:tr>
        <w:trPr>
          <w:trHeight w:val="479"/>
        </w:trPr>
        <w:tc>
          <w:tcPr>
            <w:tcW w:w="6460" w:type="dxa"/>
            <w:vAlign w:val="bottom"/>
          </w:tcPr>
          <w:p>
            <w:pPr>
              <w:ind w:left="20"/>
              <w:spacing w:after="0"/>
              <w:rPr>
                <w:sz w:val="20"/>
                <w:szCs w:val="20"/>
                <w:color w:val="auto"/>
              </w:rPr>
            </w:pPr>
            <w:r>
              <w:rPr>
                <w:rFonts w:ascii="Arial" w:cs="Arial" w:eastAsia="Arial" w:hAnsi="Arial"/>
                <w:sz w:val="18"/>
                <w:szCs w:val="18"/>
                <w:color w:val="auto"/>
              </w:rPr>
              <w:t>Deferred:</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State</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3"/>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12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Total deferred</w:t>
            </w: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76"/>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Provision (Benefit) for income taxes</w:t>
            </w: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89"/>
              </w:rPr>
              <w:t>33</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89"/>
              </w:rPr>
              <w:t>74</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89"/>
              </w:rPr>
              <w:t>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-350520</wp:posOffset>
            </wp:positionV>
            <wp:extent cx="7747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-350520</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tax effects of temporary differences that give rise to significant components of the net deferred tax assets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6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6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117,232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75,259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28,451</w:t>
            </w: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166,259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166,269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Research and development tax credits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25,110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18,330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10,527</w:t>
            </w: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8,405</w:t>
            </w:r>
          </w:p>
        </w:tc>
        <w:tc>
          <w:tcPr>
            <w:tcW w:w="10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Accruals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22,276</w:t>
            </w:r>
          </w:p>
        </w:tc>
        <w:tc>
          <w:tcPr>
            <w:tcW w:w="10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20"/>
                <w:szCs w:val="20"/>
                <w:color w:val="auto"/>
              </w:rPr>
            </w:pPr>
          </w:p>
        </w:tc>
        <w:tc>
          <w:tcPr>
            <w:tcW w:w="15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r>
      <w:tr>
        <w:trPr>
          <w:trHeight w:val="243"/>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 174 Capitalized R&amp;D</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deferred tax assets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367,201</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295,355</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83,241</w:t>
            </w:r>
          </w:p>
        </w:tc>
        <w:tc>
          <w:tcPr>
            <w:tcW w:w="100" w:type="dxa"/>
            <w:vAlign w:val="bottom"/>
            <w:tcBorders>
              <w:top w:val="single" w:sz="8" w:color="CFF0FC"/>
            </w:tcBorders>
          </w:tcPr>
          <w:p>
            <w:pPr>
              <w:spacing w:after="0"/>
              <w:rPr>
                <w:sz w:val="20"/>
                <w:szCs w:val="20"/>
                <w:color w:val="auto"/>
              </w:rPr>
            </w:pPr>
          </w:p>
        </w:tc>
      </w:tr>
      <w:tr>
        <w:trPr>
          <w:trHeight w:val="243"/>
        </w:trPr>
        <w:tc>
          <w:tcPr>
            <w:tcW w:w="6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(347,789 )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(275,788 )</w:t>
            </w:r>
          </w:p>
        </w:tc>
        <w:tc>
          <w:tcPr>
            <w:tcW w:w="1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(62,005 )</w:t>
            </w:r>
          </w:p>
        </w:tc>
      </w:tr>
      <w:tr>
        <w:trPr>
          <w:trHeight w:val="237"/>
        </w:trPr>
        <w:tc>
          <w:tcPr>
            <w:tcW w:w="64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19,412</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19,567</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21,236</w:t>
            </w:r>
          </w:p>
        </w:tc>
        <w:tc>
          <w:tcPr>
            <w:tcW w:w="100" w:type="dxa"/>
            <w:vAlign w:val="bottom"/>
            <w:tcBorders>
              <w:top w:val="single" w:sz="8" w:color="CFF0FC"/>
            </w:tcBorders>
          </w:tcPr>
          <w:p>
            <w:pPr>
              <w:spacing w:after="0"/>
              <w:rPr>
                <w:sz w:val="20"/>
                <w:szCs w:val="20"/>
                <w:color w:val="auto"/>
              </w:rPr>
            </w:pPr>
          </w:p>
        </w:tc>
      </w:tr>
      <w:tr>
        <w:trPr>
          <w:trHeight w:val="24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spacing w:after="0"/>
              <w:rPr>
                <w:sz w:val="20"/>
                <w:szCs w:val="20"/>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(17,073 )</w:t>
            </w:r>
          </w:p>
        </w:tc>
        <w:tc>
          <w:tcPr>
            <w:tcW w:w="140" w:type="dxa"/>
            <w:vAlign w:val="bottom"/>
          </w:tcPr>
          <w:p>
            <w:pPr>
              <w:spacing w:after="0"/>
              <w:rPr>
                <w:sz w:val="20"/>
                <w:szCs w:val="20"/>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(19,217 )</w:t>
            </w: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(21,234 )</w:t>
            </w: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Capitalized legal fees</w:t>
            </w:r>
          </w:p>
        </w:tc>
        <w:tc>
          <w:tcPr>
            <w:tcW w:w="1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20"/>
                <w:szCs w:val="20"/>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(2,339 )</w:t>
            </w:r>
          </w:p>
        </w:tc>
        <w:tc>
          <w:tcPr>
            <w:tcW w:w="140" w:type="dxa"/>
            <w:vAlign w:val="bottom"/>
          </w:tcPr>
          <w:p>
            <w:pPr>
              <w:spacing w:after="0"/>
              <w:rPr>
                <w:sz w:val="20"/>
                <w:szCs w:val="20"/>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0"/>
                <w:szCs w:val="20"/>
                <w:color w:val="auto"/>
              </w:rPr>
            </w:pPr>
          </w:p>
        </w:tc>
        <w:tc>
          <w:tcPr>
            <w:tcW w:w="13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deferred tax liabilities</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(19,412</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460" w:type="dxa"/>
            <w:vAlign w:val="bottom"/>
          </w:tcPr>
          <w:p>
            <w:pPr>
              <w:ind w:left="380"/>
              <w:spacing w:after="0"/>
              <w:rPr>
                <w:sz w:val="20"/>
                <w:szCs w:val="20"/>
                <w:color w:val="auto"/>
              </w:rPr>
            </w:pPr>
            <w:r>
              <w:rPr>
                <w:rFonts w:ascii="Arial" w:cs="Arial" w:eastAsia="Arial" w:hAnsi="Arial"/>
                <w:sz w:val="18"/>
                <w:szCs w:val="18"/>
                <w:color w:val="auto"/>
              </w:rPr>
              <w:t>Total net deferred tax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-1447800</wp:posOffset>
            </wp:positionV>
            <wp:extent cx="7747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-1447800</wp:posOffset>
            </wp:positionV>
            <wp:extent cx="6858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-1130935</wp:posOffset>
            </wp:positionV>
            <wp:extent cx="7747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-1130935</wp:posOffset>
            </wp:positionV>
            <wp:extent cx="6858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7747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Company has recorded a full valuation allowance against its net deferred tax assets due to the uncertainty as to whether such assets will be realized. The net change in the total valuation allowance for the years ended December 31, 2022, 2021 and 2020 was an increase of approximately $72.0 million, $213.8 million and $24.8 million, respectively.</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Tax Cuts and Jobs Act eliminated the option to deduct research and development expenditures currently and requires taxpayers to capitalize and amortize them pursuant to Internal Revenue Code Section 174 beginning in 2022. The capitalized expenses are amortized over a 5-year period for domestic expenses and a 15-year period for foreign expenses.</w:t>
      </w:r>
    </w:p>
    <w:p>
      <w:pPr>
        <w:spacing w:after="0" w:line="76"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The Company periodically completes a Section 382 analysis. Subsequent ownership changes since the most recent study may further affect the limitation in future years.</w:t>
      </w:r>
    </w:p>
    <w:p>
      <w:pPr>
        <w:spacing w:after="0" w:line="84"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As of December 31, 2022, the Company had $68.7 million of federal and $614.9 million of state net operating loss available to offset future taxable income. A portion of the federal net operating loss carryforwards begin to expire in 2035 and the state net operating loss carryforwards begin to expire in 2035, if not utilized. $50.6 million of the federal net operating loss are not subject to expiration.</w:t>
      </w:r>
    </w:p>
    <w:p>
      <w:pPr>
        <w:spacing w:after="0" w:line="76"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As of December 31, 2022, the Company also had federal and state research and development credit carryforwards of approximately $24.6 million and $8.1 million, respectively. The federal research and development credit carryforwards expire beginning 2035. The California tax credit can be carried forward indefinitely.</w:t>
      </w:r>
    </w:p>
    <w:p>
      <w:pPr>
        <w:spacing w:after="0" w:line="7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On March 27, 2020, the President signed into law the Coronavirus Aid, Relief, and Economic Security Act, or the CARES Act, an economic stimulus package in response to the COVID-19 global pandemic and the Families First Coronavirus Response Act, or FFCR Act, which permits employees of certain organizations paid sick time stemming from COVID-19-related issues. The CARES Act contains several corporate income tax provisions, including making remaining alternative minimum tax credits immediately refundable; providing a 5-year carryback of NOLs generated in tax years 2018, 2019, and 2020, and removing the 80% taxable income limitation on utilization of those NOLs if carried back to prior tax years or utilized in tax years beginning before 2021; temporarily liberalizing the interest deductibility rules under Section 163(j) of the CARES Act, by raising the adjusted taxable income limitation from 30% to 50% for tax years 2019 and 2020 and giving taxpayers the election of using 2019 adjusted taxable income for purposes of computing 2020 interest deductibility. The CARES Act did not have a material impact on the Company’s tax provision for the years ended December 31, 2022, 2021, or 2020.</w:t>
      </w:r>
    </w:p>
    <w:p>
      <w:pPr>
        <w:spacing w:after="0" w:line="88"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Consolidated Appropriations Act, 2021, which was enacted on December 27, 2020, has expanded, extended, and clarified selected CARES Act provisions, specifically on Paycheck Protection Program loans and Employee Retention Tax Credits, 100% deductibility of business meals as well as other tax extenders. The Consolidated Appropriations Act did not have a material impact on the Company’s tax provision for the years ended December 31, 2022, 2021, or 2020.</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California Assembly Bill 85 (AB 85) was signed into law by Governor Gavin Newsom on June 29, 2020. The legislation suspends the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NOL deductions for 2022, 2021, and 2020 for certain taxpayers and imposes a limitation on certain California tax credits for 2022, 2021, and 2020.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legislation disallows the use of California NOL deductions if the taxpayer recognizes business income and its adjusted gross income is greater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 The carryover periods for NOL deductions disallowed by this provision will be extended. Additionally, any business credit will only offset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of $5,000,000 of California tax. Given the Company’s taxable loss position, this legislation did not impact the tax provision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or 2020.</w:t>
      </w:r>
    </w:p>
    <w:p>
      <w:pPr>
        <w:spacing w:after="0" w:line="103"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California Senate Bill 113 (SB 113), was signed into law by Governor Newsom on February 9, 2022. The legislation contains important California tax law changes, including reinstatement of business tax credits and net NOL deductions limited by AB 85 mentioned above. Given the Company’s taxable loss position, this legislation did not impact the tax provision for the years ended December 31, 2022.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jc w:val="center"/>
        <w:ind w:right="6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3"/>
          </w:tcPr>
          <w:p>
            <w:pPr>
              <w:ind w:left="520"/>
              <w:spacing w:after="0"/>
              <w:rPr>
                <w:sz w:val="20"/>
                <w:szCs w:val="20"/>
                <w:color w:val="auto"/>
              </w:rPr>
            </w:pPr>
            <w:r>
              <w:rPr>
                <w:rFonts w:ascii="Arial" w:cs="Arial" w:eastAsia="Arial" w:hAnsi="Arial"/>
                <w:sz w:val="18"/>
                <w:szCs w:val="18"/>
                <w:color w:val="auto"/>
                <w:w w:val="98"/>
              </w:rPr>
              <w:t>A reconciliation of the Company’s effective tax rate to the statutory U.S. federal rate is as follows:</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3"/>
        </w:trPr>
        <w:tc>
          <w:tcPr>
            <w:tcW w:w="6520" w:type="dxa"/>
            <w:vAlign w:val="bottom"/>
          </w:tcPr>
          <w:p>
            <w:pPr>
              <w:spacing w:after="0"/>
              <w:rPr>
                <w:sz w:val="24"/>
                <w:szCs w:val="24"/>
                <w:color w:val="auto"/>
              </w:rPr>
            </w:pPr>
          </w:p>
        </w:tc>
        <w:tc>
          <w:tcPr>
            <w:tcW w:w="16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52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Federal statutory income tax rate</w:t>
            </w: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652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tax rate differential</w:t>
            </w:r>
          </w:p>
        </w:tc>
        <w:tc>
          <w:tcPr>
            <w:tcW w:w="1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(4.7 )</w:t>
            </w:r>
          </w:p>
        </w:tc>
        <w:tc>
          <w:tcPr>
            <w:tcW w:w="16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(7.7 )</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(7.9 )</w:t>
            </w:r>
          </w:p>
        </w:tc>
        <w:tc>
          <w:tcPr>
            <w:tcW w:w="60" w:type="dxa"/>
            <w:vAlign w:val="bottom"/>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(20.0 )</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(78.3 )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60" w:type="dxa"/>
            <w:vAlign w:val="bottom"/>
          </w:tcPr>
          <w:p>
            <w:pPr>
              <w:spacing w:after="0"/>
              <w:rPr>
                <w:sz w:val="20"/>
                <w:szCs w:val="20"/>
                <w:color w:val="auto"/>
              </w:rPr>
            </w:pPr>
          </w:p>
        </w:tc>
      </w:tr>
      <w:tr>
        <w:trPr>
          <w:trHeight w:val="249"/>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(3.9 )</w:t>
            </w:r>
          </w:p>
        </w:tc>
        <w:tc>
          <w:tcPr>
            <w:tcW w:w="16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(1.2 )</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Research tax credit</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 of future royalties</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(9.4 )</w:t>
            </w:r>
          </w:p>
        </w:tc>
        <w:tc>
          <w:tcPr>
            <w:tcW w:w="60" w:type="dxa"/>
            <w:vAlign w:val="bottom"/>
          </w:tcPr>
          <w:p>
            <w:pPr>
              <w:spacing w:after="0"/>
              <w:rPr>
                <w:sz w:val="21"/>
                <w:szCs w:val="2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Section 162(m)</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(0.8 )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60" w:type="dxa"/>
            <w:vAlign w:val="bottom"/>
          </w:tcPr>
          <w:p>
            <w:pPr>
              <w:spacing w:after="0"/>
              <w:rPr>
                <w:sz w:val="20"/>
                <w:szCs w:val="20"/>
                <w:color w:val="auto"/>
              </w:rPr>
            </w:pPr>
          </w:p>
        </w:tc>
      </w:tr>
      <w:tr>
        <w:trPr>
          <w:trHeight w:val="249"/>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valuation</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r>
      <w:tr>
        <w:trPr>
          <w:trHeight w:val="20"/>
        </w:trPr>
        <w:tc>
          <w:tcPr>
            <w:tcW w:w="65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As of December 31, 2022, 2021 and 2020, none of the unrecognized tax benefits would affect income tax expense with consideration of the valuation allowance. The Company does not anticipate the uncertain tax positions will materially change in the next 12 months.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beginning and ending unrecognized tax benefits amounts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r>
      <w:tr>
        <w:trPr>
          <w:trHeight w:val="241"/>
        </w:trPr>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Unrecognized tax benefits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FF0FC"/>
          </w:tcPr>
          <w:p>
            <w:pPr>
              <w:spacing w:after="0"/>
              <w:rPr>
                <w:sz w:val="21"/>
                <w:szCs w:val="2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8"/>
                <w:szCs w:val="18"/>
                <w:color w:val="auto"/>
              </w:rPr>
              <w:t>Increases related to current year tax positions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0"/>
                <w:szCs w:val="20"/>
                <w:color w:val="auto"/>
              </w:rPr>
            </w:pPr>
          </w:p>
        </w:tc>
      </w:tr>
      <w:tr>
        <w:trPr>
          <w:trHeight w:val="277"/>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Unrecognized tax benefits at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Company files income tax returns in the United States and Switzerland. The Company is not currently under examination by income tax authorities in federal, state or other jurisdictions. All tax returns remain open for examination by the federal and state authorities for three and four years, respectively, from the date of utilization of any net operating loss or credits.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12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As of December 31, 2022 and 2021, the Company’s amended and restated certificate of incorporation authorized the Company to issue up to 10,000,000 shares of preferred stock at the par value of $0.0001 per share. As of December 31, 2022, there are no shares of the Company’s preferred stock issued or outstanding.</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21"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As of December 31, 2022 and 2021, the Company’s amended and restated certificate of incorporation authorized the Company to issue 490,000,000 shares of common stock at the par value of $0.0001 per share. Each share of common stock is entitled to one vote. The board of directors may declare and pay dividends to holders of common stock. The Company has never declared or paid any dividends on common stock.</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reserved common stock for future issuances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r>
      <w:tr>
        <w:trPr>
          <w:trHeight w:val="241"/>
        </w:trPr>
        <w:tc>
          <w:tcPr>
            <w:tcW w:w="30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December 31, 2022</w:t>
            </w:r>
          </w:p>
        </w:tc>
        <w:tc>
          <w:tcPr>
            <w:tcW w:w="20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3"/>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Exercise of options outstanding and release of restricted shares</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16,822,629</w:t>
            </w:r>
          </w:p>
        </w:tc>
        <w:tc>
          <w:tcPr>
            <w:tcW w:w="260" w:type="dxa"/>
            <w:vAlign w:val="bottom"/>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14,887,847</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Exercise of common stock warrants outstanding</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r>
      <w:tr>
        <w:trPr>
          <w:trHeight w:val="249"/>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Issuance of common stock under the 2018</w:t>
            </w:r>
          </w:p>
        </w:tc>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Incentive Plan</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1,934,606</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2,101,369</w:t>
            </w:r>
          </w:p>
        </w:tc>
        <w:tc>
          <w:tcPr>
            <w:tcW w:w="100" w:type="dxa"/>
            <w:vAlign w:val="bottom"/>
            <w:shd w:val="clear" w:color="auto" w:fill="CFF0FC"/>
          </w:tcPr>
          <w:p>
            <w:pPr>
              <w:spacing w:after="0"/>
              <w:rPr>
                <w:sz w:val="21"/>
                <w:szCs w:val="21"/>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color w:val="auto"/>
                <w:w w:val="89"/>
              </w:rPr>
              <w:t>Issuance of common stock under the 2018</w:t>
            </w:r>
          </w:p>
        </w:tc>
        <w:tc>
          <w:tcPr>
            <w:tcW w:w="4240" w:type="dxa"/>
            <w:vAlign w:val="bottom"/>
          </w:tcPr>
          <w:p>
            <w:pPr>
              <w:ind w:left="20"/>
              <w:spacing w:after="0"/>
              <w:rPr>
                <w:sz w:val="20"/>
                <w:szCs w:val="20"/>
                <w:color w:val="auto"/>
              </w:rPr>
            </w:pPr>
            <w:r>
              <w:rPr>
                <w:rFonts w:ascii="Arial" w:cs="Arial" w:eastAsia="Arial" w:hAnsi="Arial"/>
                <w:sz w:val="18"/>
                <w:szCs w:val="18"/>
                <w:color w:val="auto"/>
              </w:rPr>
              <w:t>Employee Share Purchase Plan</w:t>
            </w:r>
          </w:p>
        </w:tc>
        <w:tc>
          <w:tcPr>
            <w:tcW w:w="1780" w:type="dxa"/>
            <w:vAlign w:val="bottom"/>
          </w:tcPr>
          <w:p>
            <w:pPr>
              <w:jc w:val="right"/>
              <w:spacing w:after="0"/>
              <w:rPr>
                <w:sz w:val="20"/>
                <w:szCs w:val="20"/>
                <w:color w:val="auto"/>
              </w:rPr>
            </w:pPr>
            <w:r>
              <w:rPr>
                <w:rFonts w:ascii="Arial" w:cs="Arial" w:eastAsia="Arial" w:hAnsi="Arial"/>
                <w:sz w:val="18"/>
                <w:szCs w:val="18"/>
                <w:color w:val="auto"/>
              </w:rPr>
              <w:t>425,179</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453,042</w:t>
            </w:r>
          </w:p>
        </w:tc>
        <w:tc>
          <w:tcPr>
            <w:tcW w:w="100" w:type="dxa"/>
            <w:vAlign w:val="bottom"/>
          </w:tcPr>
          <w:p>
            <w:pPr>
              <w:spacing w:after="0"/>
              <w:rPr>
                <w:sz w:val="20"/>
                <w:szCs w:val="20"/>
                <w:color w:val="auto"/>
              </w:rPr>
            </w:pPr>
          </w:p>
        </w:tc>
      </w:tr>
      <w:tr>
        <w:trPr>
          <w:trHeight w:val="276"/>
        </w:trPr>
        <w:tc>
          <w:tcPr>
            <w:tcW w:w="30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240" w:type="dxa"/>
            <w:vAlign w:val="bottom"/>
            <w:tcBorders>
              <w:top w:val="single" w:sz="8" w:color="CFF0FC"/>
              <w:bottom w:val="single" w:sz="8" w:color="CFF0FC"/>
            </w:tcBorders>
            <w:shd w:val="clear" w:color="auto" w:fill="CFF0FC"/>
          </w:tcPr>
          <w:p>
            <w:pPr>
              <w:spacing w:after="0"/>
              <w:rPr>
                <w:sz w:val="24"/>
                <w:szCs w:val="24"/>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19,182,414</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17,692,258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In August 2018, the Company adopted the 2018 Equity Incentive Plan (“2018 Plan”), which became effective on the business day prior to the effectiveness of the registration statement relating to the IPO. The 2018 Plan initially reserved 4,300,000 shares of common stock for the issuance of incentive stock options ("ISOs"), nonstatutory stock options ("NSOs"), restricted stock, restricted stock units (“RSUs”), stock appreciation rights, performance units and performance shares to employees, directors and consultants of the Company. The number of shares available for issuance increases annually on the first day of each fiscal year equal to the least of (1) 4,300,000 shares, and (2) 4% of outstanding shares of common stock as of the last day of the immediately preceding year, and (3) such other amount as determined by the board of directors. The exercise price of options must be equal to at least the fair market value of the common stock on the grant date. For ISOs, the term may not exceed ten years, except in respect to any participant with more than 10% of voting power of all classes or stock then the term may not exceed five years and the exercise price must be equal to at least 110% of the fair market value of the common stock on the grant date. Options and RSUs granted generally vest over four years.</w:t>
      </w:r>
    </w:p>
    <w:p>
      <w:pPr>
        <w:spacing w:after="0" w:line="5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number of shares available for issuance increased by 2,073,050 shares in 2022 and there were 1,934,606 shares available for grant under the 2018 Plan as of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Long-Term Performance Incentive Plan</w:t>
      </w:r>
    </w:p>
    <w:p>
      <w:pPr>
        <w:spacing w:after="0" w:line="117"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The 2021 Long-Term Performance Incentive Plan (“2021 LTPIP”) was designed to be a long-term, pay-for-performance, incentive plan that would further align the interests of management and other eligible employees with the creation of substantial long-term value for the Company's stockholders. During 2021, eligible employees were provided a one-time opportunity to "opt-in" and forgo a portion of their annual equity incentive awards in exchange for a one-time grant of performance-based stock options from the 2021 LTPIP and 2018 Plan, collectively referred to as the "LTPIP Program". There were no options granted under the LTPIP Program for the year ended December 31, 2022.</w:t>
      </w:r>
    </w:p>
    <w:p>
      <w:pPr>
        <w:spacing w:after="0" w:line="68"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Shares underlying the options granted under the LTPIP Program may be earned based on the achievement of the performance-based requirement based on stock price goals and/or certain operational milestones based on approval by the U.S. Food and Drug Administration of a Biologics License Application in respect of a first, second, and third major indication and based on sales. The performance-based requirement and operational milestones were not achieved as of December 31, 2022.</w:t>
      </w:r>
    </w:p>
    <w:p>
      <w:pPr>
        <w:spacing w:after="0" w:line="79"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Company determined the exchange of the original award of annual equity incentive awards with the modified award of options granted under the LTPIP Program represented a change in the original terms and conditions. The modification resulted in additional compensation cost equal to the incremental value between the original and modified awards to be recognized. For the annual equity incentive awards, the Company continues to record the unrecognized compensation expense over the original vesting period. For the options granted under the LTPIP Program, the stock-based compensation expense recognized during the years ended December 31, 2022 and 2021 was $65.1 million and $15.7 million,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ind w:right="6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As of December 31, 2022, there was $247.9 million of unrecognized stock-based compensation expense related to the 6,818,584 options granted under the LTPIP Program, but not yet earned or vested, to be recognized over a weighted-average period of 4.02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including stock options and PSOs under the 2021 LTPIP, 2018 Plan and 2015 Plan is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of</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8"/>
                <w:szCs w:val="18"/>
                <w:color w:val="auto"/>
              </w:rPr>
            </w:pPr>
          </w:p>
        </w:tc>
      </w:tr>
      <w:tr>
        <w:trPr>
          <w:trHeight w:val="241"/>
        </w:trPr>
        <w:tc>
          <w:tcPr>
            <w:tcW w:w="450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14,523,917</w:t>
            </w:r>
          </w:p>
        </w:tc>
        <w:tc>
          <w:tcPr>
            <w:tcW w:w="3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61.68</w:t>
            </w:r>
          </w:p>
        </w:tc>
        <w:tc>
          <w:tcPr>
            <w:tcW w:w="220" w:type="dxa"/>
            <w:vAlign w:val="bottom"/>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335,440</w:t>
            </w:r>
          </w:p>
        </w:tc>
        <w:tc>
          <w:tcPr>
            <w:tcW w:w="100" w:type="dxa"/>
            <w:vAlign w:val="bottom"/>
            <w:shd w:val="clear" w:color="auto" w:fill="CFF0FC"/>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3,079,120</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(126,999 )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Forfeited or canceled</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(933,931 )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75.23</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16,542,107</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51.48</w:t>
            </w: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4500" w:type="dxa"/>
            <w:vAlign w:val="bottom"/>
          </w:tcPr>
          <w:p>
            <w:pPr>
              <w:ind w:left="20"/>
              <w:spacing w:after="0"/>
              <w:rPr>
                <w:sz w:val="20"/>
                <w:szCs w:val="20"/>
                <w:color w:val="auto"/>
              </w:rPr>
            </w:pPr>
            <w:r>
              <w:rPr>
                <w:rFonts w:ascii="Arial" w:cs="Arial" w:eastAsia="Arial" w:hAnsi="Arial"/>
                <w:sz w:val="18"/>
                <w:szCs w:val="18"/>
                <w:color w:val="auto"/>
              </w:rPr>
              <w:t>Shares exercisable December 31, 2022</w:t>
            </w:r>
          </w:p>
        </w:tc>
        <w:tc>
          <w:tcPr>
            <w:tcW w:w="1460" w:type="dxa"/>
            <w:vAlign w:val="bottom"/>
          </w:tcPr>
          <w:p>
            <w:pPr>
              <w:jc w:val="right"/>
              <w:spacing w:after="0"/>
              <w:rPr>
                <w:sz w:val="20"/>
                <w:szCs w:val="20"/>
                <w:color w:val="auto"/>
              </w:rPr>
            </w:pPr>
            <w:r>
              <w:rPr>
                <w:rFonts w:ascii="Arial" w:cs="Arial" w:eastAsia="Arial" w:hAnsi="Arial"/>
                <w:sz w:val="18"/>
                <w:szCs w:val="18"/>
                <w:color w:val="auto"/>
              </w:rPr>
              <w:t>8,452,058</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41.84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18"/>
                <w:szCs w:val="18"/>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expected to vest December 31, 2022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16,542,107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-334010</wp:posOffset>
            </wp:positionV>
            <wp:extent cx="7747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179705"/>
                    </a:xfrm>
                    <a:prstGeom prst="rect">
                      <a:avLst/>
                    </a:prstGeom>
                    <a:noFill/>
                  </pic:spPr>
                </pic:pic>
              </a:graphicData>
            </a:graphic>
          </wp:anchor>
        </w:drawing>
      </w:r>
    </w:p>
    <w:p>
      <w:pPr>
        <w:spacing w:after="0" w:line="195" w:lineRule="exact"/>
        <w:rPr>
          <w:sz w:val="20"/>
          <w:szCs w:val="20"/>
          <w:color w:val="auto"/>
        </w:rPr>
      </w:pPr>
    </w:p>
    <w:p>
      <w:pPr>
        <w:jc w:val="both"/>
        <w:ind w:right="440" w:firstLine="509"/>
        <w:spacing w:after="0" w:line="311" w:lineRule="auto"/>
        <w:rPr>
          <w:sz w:val="20"/>
          <w:szCs w:val="20"/>
          <w:color w:val="auto"/>
        </w:rPr>
      </w:pPr>
      <w:r>
        <w:rPr>
          <w:rFonts w:ascii="Arial" w:cs="Arial" w:eastAsia="Arial" w:hAnsi="Arial"/>
          <w:sz w:val="16"/>
          <w:szCs w:val="16"/>
          <w:color w:val="auto"/>
        </w:rPr>
        <w:t>The weighted-average grant date fair value of the time-vested stock options granted for 2022, 2021 and 2020 was $6.31, $51.55 and $32.44 per share, respectively. The total intrinsic value of stock options exercised during 2022, 2021 and 2020 was $6.1 million, $40.2 million, and $58.1 million, respectively. The intrinsic value represents the amount by which the market price of the underlying stock exceeds the exercise price of an option.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Company estimated the fair value of employee stock options using the Black-Scholes valuation model. The fair value of time-vested employee stock options was estimated using the following weighted-average assumptions: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2"/>
          </w:tcPr>
          <w:p>
            <w:pPr>
              <w:ind w:left="420"/>
              <w:spacing w:after="0"/>
              <w:rPr>
                <w:sz w:val="20"/>
                <w:szCs w:val="20"/>
                <w:color w:val="auto"/>
              </w:rPr>
            </w:pPr>
            <w:r>
              <w:rPr>
                <w:rFonts w:ascii="Arial" w:cs="Arial" w:eastAsia="Arial" w:hAnsi="Arial"/>
                <w:sz w:val="18"/>
                <w:szCs w:val="18"/>
                <w:b w:val="1"/>
                <w:bCs w:val="1"/>
                <w:color w:val="auto"/>
              </w:rPr>
              <w:t>Year Ended</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0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December 31,</w:t>
            </w:r>
          </w:p>
        </w:tc>
        <w:tc>
          <w:tcPr>
            <w:tcW w:w="1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5080" w:type="dxa"/>
            <w:vAlign w:val="bottom"/>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28"/>
        </w:trPr>
        <w:tc>
          <w:tcPr>
            <w:tcW w:w="50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2.86 %</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0.39 %</w:t>
            </w:r>
          </w:p>
        </w:tc>
      </w:tr>
      <w:tr>
        <w:trPr>
          <w:trHeight w:val="243"/>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0 %</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Expected term</w:t>
            </w:r>
          </w:p>
        </w:tc>
        <w:tc>
          <w:tcPr>
            <w:tcW w:w="540" w:type="dxa"/>
            <w:vAlign w:val="bottom"/>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Company granted 3,079,120 options to employees in 2022. The total fair value of employee options vested during the years ended December 31, 2022, 2021 and 2020 was $28.9 million, $26.9 million and $19.7 million, respectively. Stock-based compensation expense recognized during the years ended December 31, 2022, 2021 and 2020 for options granted to employees, including the options granted under the LTPIP Program, was $93.8 million, $44.1 million and $20.8 million, respectively.</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08" w:name="page109"/>
    <w:bookmarkEnd w:id="108"/>
    <w:p>
      <w:pPr>
        <w:jc w:val="center"/>
        <w:ind w:right="6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Restricted share activity, including restricted stock units (“RSUs”), and performance-based restricted stock units (“PSUs”), under the 2018 Plan is summarized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2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360" w:type="dxa"/>
            <w:vAlign w:val="bottom"/>
          </w:tcPr>
          <w:p>
            <w:pPr>
              <w:spacing w:after="0"/>
              <w:rPr>
                <w:sz w:val="18"/>
                <w:szCs w:val="18"/>
                <w:color w:val="auto"/>
              </w:rPr>
            </w:pPr>
          </w:p>
        </w:tc>
        <w:tc>
          <w:tcPr>
            <w:tcW w:w="178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2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Restricted</w:t>
            </w:r>
          </w:p>
        </w:tc>
        <w:tc>
          <w:tcPr>
            <w:tcW w:w="36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8"/>
                <w:szCs w:val="18"/>
                <w:color w:val="auto"/>
              </w:rPr>
            </w:pPr>
          </w:p>
        </w:tc>
      </w:tr>
      <w:tr>
        <w:trPr>
          <w:trHeight w:val="241"/>
        </w:trPr>
        <w:tc>
          <w:tcPr>
            <w:tcW w:w="6520" w:type="dxa"/>
            <w:vAlign w:val="bottom"/>
          </w:tcPr>
          <w:p>
            <w:pPr>
              <w:spacing w:after="0"/>
              <w:rPr>
                <w:sz w:val="20"/>
                <w:szCs w:val="20"/>
                <w:color w:val="auto"/>
              </w:rPr>
            </w:pPr>
          </w:p>
        </w:tc>
        <w:tc>
          <w:tcPr>
            <w:tcW w:w="2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360" w:type="dxa"/>
            <w:vAlign w:val="bottom"/>
          </w:tcPr>
          <w:p>
            <w:pPr>
              <w:spacing w:after="0"/>
              <w:rPr>
                <w:sz w:val="20"/>
                <w:szCs w:val="20"/>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Unvested at December 31, 2021</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363,930</w:t>
            </w:r>
          </w:p>
        </w:tc>
        <w:tc>
          <w:tcPr>
            <w:tcW w:w="36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0"/>
                <w:szCs w:val="20"/>
                <w:color w:val="auto"/>
              </w:rPr>
            </w:pPr>
          </w:p>
        </w:tc>
      </w:tr>
      <w:tr>
        <w:trPr>
          <w:trHeight w:val="249"/>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67,750</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FF0FC"/>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Vested</w:t>
            </w:r>
          </w:p>
        </w:tc>
        <w:tc>
          <w:tcPr>
            <w:tcW w:w="2480" w:type="dxa"/>
            <w:vAlign w:val="bottom"/>
            <w:gridSpan w:val="2"/>
          </w:tcPr>
          <w:p>
            <w:pPr>
              <w:jc w:val="right"/>
              <w:ind w:right="280"/>
              <w:spacing w:after="0"/>
              <w:rPr>
                <w:sz w:val="20"/>
                <w:szCs w:val="20"/>
                <w:color w:val="auto"/>
              </w:rPr>
            </w:pPr>
            <w:r>
              <w:rPr>
                <w:rFonts w:ascii="Arial" w:cs="Arial" w:eastAsia="Arial" w:hAnsi="Arial"/>
                <w:sz w:val="18"/>
                <w:szCs w:val="18"/>
                <w:color w:val="auto"/>
              </w:rPr>
              <w:t>(103,032 )</w:t>
            </w: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20"/>
                <w:szCs w:val="20"/>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Canceled</w:t>
            </w:r>
          </w:p>
        </w:tc>
        <w:tc>
          <w:tcPr>
            <w:tcW w:w="2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(48,126 )</w:t>
            </w:r>
          </w:p>
        </w:tc>
        <w:tc>
          <w:tcPr>
            <w:tcW w:w="3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w:t>
            </w:r>
          </w:p>
        </w:tc>
        <w:tc>
          <w:tcPr>
            <w:tcW w:w="100" w:type="dxa"/>
            <w:vAlign w:val="bottom"/>
            <w:shd w:val="clear" w:color="auto" w:fill="CFF0FC"/>
          </w:tcPr>
          <w:p>
            <w:pPr>
              <w:spacing w:after="0"/>
              <w:rPr>
                <w:sz w:val="21"/>
                <w:szCs w:val="21"/>
                <w:color w:val="auto"/>
              </w:rPr>
            </w:pPr>
          </w:p>
        </w:tc>
      </w:tr>
      <w:tr>
        <w:trPr>
          <w:trHeight w:val="237"/>
        </w:trPr>
        <w:tc>
          <w:tcPr>
            <w:tcW w:w="65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at December 31, 2022</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280,522</w:t>
            </w:r>
          </w:p>
        </w:tc>
        <w:tc>
          <w:tcPr>
            <w:tcW w:w="3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top w:val="single" w:sz="8" w:color="CFF0FC"/>
            </w:tcBorders>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-187960</wp:posOffset>
            </wp:positionV>
            <wp:extent cx="76835"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Restricted Stock Units</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Company granted 67,750 RSUs to employees in 2022. The total fair value of RSUs vested during the year ended December 31, 2022, 2021, and 2020 was $4.9 million, $3.2 million and $0.3 million, respectively. Stock-based compensation expense recognized during the years ended December 31, 2022, 2021 and 2020 for RSUs was $4.6 million, $4.4 million, and $1.9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granted no stock options or RSUs to non-employees during the year ended December 31, 2022. The fair value of non-employee stock options was estimated using the following weighted-average assumptions: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gridSpan w:val="3"/>
          </w:tcPr>
          <w:p>
            <w:pPr>
              <w:ind w:left="20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200" w:type="dxa"/>
            <w:vAlign w:val="bottom"/>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72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0.97 %</w:t>
            </w:r>
          </w:p>
        </w:tc>
        <w:tc>
          <w:tcPr>
            <w:tcW w:w="5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0.36 %</w:t>
            </w:r>
          </w:p>
        </w:tc>
      </w:tr>
      <w:tr>
        <w:trPr>
          <w:trHeight w:val="25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5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0 %</w:t>
            </w:r>
          </w:p>
        </w:tc>
      </w:tr>
      <w:tr>
        <w:trPr>
          <w:trHeight w:val="250"/>
        </w:trPr>
        <w:tc>
          <w:tcPr>
            <w:tcW w:w="8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term</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Stock-based compensation expense recognized during the years ended December 31, 2022, 2021 and 2020 for equity awards granted to non-employees was $1.2 million, $1.2 million and $0.7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17"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In December 2019, the Company granted 170,150 performance-based stock options and 128,900 performance-based RSUs (collectively "2019 PSA"). These equity awards would vest 25% upon the achievement of specific clinical development milestones. The remaining awards would then vest in three equal annual installments after that date. The performance criteria for 2019 PSA was achieved in June 2021. 42,536 of the performance-based stock options and 25,907 of the performance-based restricted stock vested during 2022. The total fair value of the performance-based stock options and RSUs vested during the years ended December 31, 2022 was $3.9 million.</w:t>
      </w:r>
    </w:p>
    <w:p>
      <w:pPr>
        <w:spacing w:after="0" w:line="80"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Company estimated the fair value of the 2019 PSA using the Black-Scholes valuation model and significant assumptions included an expected volatility of 72%, a risk-free rate of 1.67%, expected dividend yield of 0%, and expected term of 6.31 years.</w:t>
      </w:r>
    </w:p>
    <w:p>
      <w:pPr>
        <w:spacing w:after="0" w:line="62"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In February 2021, the Company granted 190,831 performance-based stock options ("2021 Feb PSO"). These stock options will vest 25% upon the achievement of specific clinical development milestones. The remaining awards would then vest in 36 successive equal monthly installments after the performance criteria is achieved. The performance criteria for 2021 PSOs was achieved in February 2022. 80,456 of the performance-based stock options vested during 2022. The total fair value of the performance-based stock options vested during the year ended December 31, 2022 was $6.2 million.</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estimated the fair value of the 2021 Feb PSO using the Black-Scholes valuation model. Significant assumptions utilized in estimating the fair value of 2021 Feb PSO include an expected volatility of 66%, a risk-free rate of 0.66%, expected dividend yield of 0%, and expected term of 5.94 years.</w:t>
      </w:r>
    </w:p>
    <w:p>
      <w:pPr>
        <w:spacing w:after="0" w:line="76"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August 2021, the Company granted 478,750 performance-based stock options ("2021 Aug PSO"). These stock options will vest upon the achievement of specific clinical development milestones with the percentage of shares earned being dependent on the relative total stockholder return over the performance period. The remaining shares will then vest in 12 successive equal monthly installments after the performance criteria is achieved. As of December 31, 2022, the requisite performance criteria for the 2021 Aug PSO was not achieved and not probable and no stock-based compensation expense was recognized during the year ended December 31, 2022.</w:t>
      </w:r>
    </w:p>
    <w:p>
      <w:pPr>
        <w:spacing w:after="0" w:line="80"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Company estimated the weighted-average fair value of the 2021 Aug PSO using the Monte Carlo simulation model. Significant assumptions utilized in estimating the fair value of 2021 Aug PSO include an expected volatility of 60%, a risk-free rate of 1.05%, expected dividend yield of 0%, and expected term of 6.49 years.</w:t>
      </w:r>
    </w:p>
    <w:p>
      <w:pPr>
        <w:spacing w:after="0" w:line="76"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Performance-based awards are recorded as expense beginning when vesting events are determined to be probable. Stock-based compensation expense recognized during the years ended December 31, 2022, 2021 and 2020 for the performance-based equity awards was $6.3 million, $11.4 million and $7.2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Employee Share Purchase Plan</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The initial offering period of the ESPP was authorized by the Company’s board of directors and commenced on January 4, 2021. Each offering period is twelve months long, with two purchase periods. ESPP participants will purchase shares of common stock at a price per share equal to 85% of the lesser of (1) the fair market value per share of the common stock on the enrollment date or (2) the fair market value of the common stock on the exercise date.</w:t>
      </w:r>
    </w:p>
    <w:p>
      <w:pPr>
        <w:spacing w:after="0" w:line="84"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Company issued 27,863 shares under the ESPP during the year ended December 31, 2022. Stock-based compensation expense recognized during the year ended December 31, 2022 and 2021 for the ESPP was $0.2 million and $0.3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is classified in the consolidated statements of operations and comprehensive loss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ind w:left="14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1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59,288</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33,237</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16,957</w:t>
            </w:r>
          </w:p>
        </w:tc>
        <w:tc>
          <w:tcPr>
            <w:tcW w:w="100" w:type="dxa"/>
            <w:vAlign w:val="bottom"/>
            <w:shd w:val="clear" w:color="auto" w:fill="CFF0FC"/>
          </w:tcPr>
          <w:p>
            <w:pPr>
              <w:spacing w:after="0"/>
              <w:rPr>
                <w:sz w:val="20"/>
                <w:szCs w:val="20"/>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46,745</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28,148</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w:t>
            </w:r>
          </w:p>
        </w:tc>
        <w:tc>
          <w:tcPr>
            <w:tcW w:w="100" w:type="dxa"/>
            <w:vAlign w:val="bottom"/>
          </w:tcPr>
          <w:p>
            <w:pPr>
              <w:spacing w:after="0"/>
              <w:rPr>
                <w:sz w:val="20"/>
                <w:szCs w:val="20"/>
                <w:color w:val="auto"/>
              </w:rPr>
            </w:pPr>
          </w:p>
        </w:tc>
      </w:tr>
      <w:tr>
        <w:trPr>
          <w:trHeight w:val="27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w:t>
            </w: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106,033</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61,385</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ind w:right="680" w:firstLine="509"/>
        <w:spacing w:after="0" w:line="342" w:lineRule="auto"/>
        <w:rPr>
          <w:sz w:val="20"/>
          <w:szCs w:val="20"/>
          <w:color w:val="auto"/>
        </w:rPr>
      </w:pPr>
      <w:r>
        <w:rPr>
          <w:rFonts w:ascii="Arial" w:cs="Arial" w:eastAsia="Arial" w:hAnsi="Arial"/>
          <w:sz w:val="16"/>
          <w:szCs w:val="16"/>
          <w:color w:val="auto"/>
        </w:rPr>
        <w:t>As of December 31, 2022, the Company had $311.3 million of unrecognized compensation expense related to unvested share-based awards including options granted under the LTPIP Program and ESPP, which is expected to be recognized over a weighted-average period of 3.61 years.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Subject to Repurchase</w:t>
      </w:r>
    </w:p>
    <w:p>
      <w:pPr>
        <w:spacing w:after="0" w:line="117"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The Company has a right of repurchase with respect to unvested shares issued upon early exercise of options at an amount equal to the lower of (1) the exercise price of each restricted share being repurchased and (2) the fair market value of such restricted share at the time the Company’s right of repurchase is exercised. The Company’s right to repurchase these shares lapses as those shares vest over the requisite service period.</w:t>
      </w:r>
    </w:p>
    <w:p>
      <w:pPr>
        <w:spacing w:after="0" w:line="41"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Shares purchased by employees pursuant to the early exercise of stock options are not deemed, for accounting purposes, to be issued until those shares vest according to their respective vesting schedules. Cash received for early exercised stock options is recorded as accrued liabilities and other current liabilities on the consolidated balance sheet and is reclassified to common stock and additional paid-in capital as such shares vest. At December 31, 2022, there were no early exercised stock options subject to the Company’s right of repurchase.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Common share</w:t>
      </w:r>
    </w:p>
    <w:p>
      <w:pPr>
        <w:spacing w:after="0" w:line="121" w:lineRule="exact"/>
        <w:rPr>
          <w:sz w:val="20"/>
          <w:szCs w:val="20"/>
          <w:color w:val="auto"/>
        </w:rPr>
      </w:pPr>
    </w:p>
    <w:p>
      <w:pPr>
        <w:ind w:right="300" w:firstLine="509"/>
        <w:spacing w:after="0" w:line="308" w:lineRule="auto"/>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 which excludes shares which are legally outstanding, but subject to repurchase by the Company (in thousands, except share and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(333,823 )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(266,990 )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(133,096 )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560" w:type="dxa"/>
            <w:vAlign w:val="bottom"/>
          </w:tcPr>
          <w:p>
            <w:pPr>
              <w:ind w:left="200"/>
              <w:spacing w:after="0" w:line="195" w:lineRule="exact"/>
              <w:rPr>
                <w:sz w:val="20"/>
                <w:szCs w:val="20"/>
                <w:color w:val="auto"/>
              </w:rPr>
            </w:pPr>
            <w:r>
              <w:rPr>
                <w:rFonts w:ascii="Arial" w:cs="Arial" w:eastAsia="Arial" w:hAnsi="Arial"/>
                <w:sz w:val="18"/>
                <w:szCs w:val="18"/>
                <w:color w:val="auto"/>
              </w:rPr>
              <w:t>Weighted-average shares outstanding used in</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40"/>
              <w:spacing w:after="0"/>
              <w:rPr>
                <w:sz w:val="20"/>
                <w:szCs w:val="20"/>
                <w:color w:val="auto"/>
              </w:rPr>
            </w:pPr>
            <w:r>
              <w:rPr>
                <w:rFonts w:ascii="Arial" w:cs="Arial" w:eastAsia="Arial" w:hAnsi="Arial"/>
                <w:sz w:val="18"/>
                <w:szCs w:val="18"/>
                <w:color w:val="auto"/>
              </w:rPr>
              <w:t>computing net loss per share attributable to</w:t>
            </w:r>
          </w:p>
        </w:tc>
        <w:tc>
          <w:tcPr>
            <w:tcW w:w="4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52,249,620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51,788,918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45,741,845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340"/>
              <w:spacing w:after="0" w:line="203" w:lineRule="exact"/>
              <w:rPr>
                <w:sz w:val="20"/>
                <w:szCs w:val="20"/>
                <w:color w:val="auto"/>
              </w:rPr>
            </w:pPr>
            <w:r>
              <w:rPr>
                <w:rFonts w:ascii="Arial" w:cs="Arial" w:eastAsia="Arial" w:hAnsi="Arial"/>
                <w:sz w:val="18"/>
                <w:szCs w:val="18"/>
                <w:color w:val="auto"/>
              </w:rPr>
              <w:t>common stockholders, basic and diluted</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40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(6.39 )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(5.16 )</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400" w:type="dxa"/>
            <w:vAlign w:val="bottom"/>
            <w:vMerge w:val="continue"/>
            <w:shd w:val="clear" w:color="auto" w:fill="CFF0FC"/>
          </w:tcPr>
          <w:p>
            <w:pPr>
              <w:spacing w:after="0"/>
              <w:rPr>
                <w:sz w:val="19"/>
                <w:szCs w:val="19"/>
                <w:color w:val="auto"/>
              </w:rPr>
            </w:pPr>
          </w:p>
        </w:tc>
        <w:tc>
          <w:tcPr>
            <w:tcW w:w="158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72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following common share equivalents were excluded from the computation of diluted net loss per common share for the periods presented because their inclusion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As of December 31,</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420" w:type="dxa"/>
            <w:vAlign w:val="bottom"/>
          </w:tcPr>
          <w:p>
            <w:pPr>
              <w:spacing w:after="0"/>
              <w:rPr>
                <w:sz w:val="20"/>
                <w:szCs w:val="20"/>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9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16,542,107</w:t>
            </w:r>
          </w:p>
        </w:tc>
        <w:tc>
          <w:tcPr>
            <w:tcW w:w="280" w:type="dxa"/>
            <w:vAlign w:val="bottom"/>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14,523,917</w:t>
            </w:r>
          </w:p>
        </w:tc>
        <w:tc>
          <w:tcPr>
            <w:tcW w:w="28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6,897,276</w:t>
            </w:r>
          </w:p>
        </w:tc>
        <w:tc>
          <w:tcPr>
            <w:tcW w:w="100" w:type="dxa"/>
            <w:vAlign w:val="bottom"/>
            <w:shd w:val="clear" w:color="auto" w:fill="CFF0FC"/>
          </w:tcPr>
          <w:p>
            <w:pPr>
              <w:spacing w:after="0"/>
              <w:rPr>
                <w:sz w:val="20"/>
                <w:szCs w:val="20"/>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Unvested restricted shares</w:t>
            </w:r>
          </w:p>
        </w:tc>
        <w:tc>
          <w:tcPr>
            <w:tcW w:w="1720" w:type="dxa"/>
            <w:vAlign w:val="bottom"/>
          </w:tcPr>
          <w:p>
            <w:pPr>
              <w:jc w:val="right"/>
              <w:spacing w:after="0"/>
              <w:rPr>
                <w:sz w:val="20"/>
                <w:szCs w:val="20"/>
                <w:color w:val="auto"/>
              </w:rPr>
            </w:pPr>
            <w:r>
              <w:rPr>
                <w:rFonts w:ascii="Arial" w:cs="Arial" w:eastAsia="Arial" w:hAnsi="Arial"/>
                <w:sz w:val="18"/>
                <w:szCs w:val="18"/>
                <w:color w:val="auto"/>
              </w:rPr>
              <w:t>280,522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363,930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359,945</w:t>
            </w:r>
          </w:p>
        </w:tc>
        <w:tc>
          <w:tcPr>
            <w:tcW w:w="100" w:type="dxa"/>
            <w:vAlign w:val="bottom"/>
          </w:tcPr>
          <w:p>
            <w:pPr>
              <w:spacing w:after="0"/>
              <w:rPr>
                <w:sz w:val="20"/>
                <w:szCs w:val="20"/>
                <w:color w:val="auto"/>
              </w:rPr>
            </w:pPr>
          </w:p>
        </w:tc>
      </w:tr>
      <w:tr>
        <w:trPr>
          <w:trHeight w:val="277"/>
        </w:trPr>
        <w:tc>
          <w:tcPr>
            <w:tcW w:w="54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16,822,629</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14,887,847</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7,257,221</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401(k) Plan</w:t>
      </w:r>
    </w:p>
    <w:p>
      <w:pPr>
        <w:spacing w:after="0" w:line="121"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In 2011, the Company adopted a 401(k) retirement and savings plan covering all employees. The 401(k) plan allows employees to make pre- and post-tax contributions up to the maximum allowable amount set by the Internal Revenue Service. The 401(k) plan was amended to include an employer matching provision in 2019. The Company will make matching contributions of 100% of employee contributions up to a maximum of 50% of the individual maximum contribution limit allowed under the IRS rules. For the years ended December 31, 2022, 2021 and 2020, the expense related to the matching contributions was $0.9 million, $0.7 million and $0.6 million,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Liability related to Sale of Future Royalties</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On December 1, 2019, the Company and its subsidiary Kodiak Sciences GmbH entered into a funding agreement with BBA, which holds more than 5% of the Company’s capital stock, pursuant to which BBA purchased the right to receive a capped 4.5% royalty on future net sales of tarcocimab, the Company’s anti-VEGF antibody biopolymer conjugate therapy, in exchange for $225.0 million. The royalty terminates upon the date that BBA has received an aggregate amount equal to 4.5 times the funding amount paid to the Company, unless earlier terminated or repurchased by the Company. Under the terms of the funding agreement, there is no obligation to repay any funding amount received, other than through the capped royalty payments on future product revenues. The Company has the option, exercisable at any point during the term of the funding agreement, to repurchase 100% of the royalties due to BBA for a purchase price equal to 4.5 times the funding amount paid to the Company as of such time, less amounts paid by the Company to BBA.</w:t>
      </w:r>
    </w:p>
    <w:p>
      <w:pPr>
        <w:spacing w:after="0" w:line="5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closing of the funding agreement was subject to certain conditions and occurred in February 2020. The Company received $100.0 million of the funding on February 4, 2020. The remaining $125.0 million, subject to delivery of notice by the Company, was payable upon enrollment of 50% of the patients in the RVO clinical program. In July 2021, the funding agreement was amended, at the Company’s request, that the remaining funding amount of $125.0 million would not be paid.</w:t>
      </w:r>
    </w:p>
    <w:p>
      <w:pPr>
        <w:spacing w:after="0" w:line="79" w:lineRule="exact"/>
        <w:rPr>
          <w:sz w:val="20"/>
          <w:szCs w:val="20"/>
          <w:color w:val="auto"/>
        </w:rPr>
      </w:pPr>
    </w:p>
    <w:p>
      <w:pPr>
        <w:ind w:right="360" w:firstLine="509"/>
        <w:spacing w:after="0" w:line="301" w:lineRule="auto"/>
        <w:rPr>
          <w:sz w:val="20"/>
          <w:szCs w:val="20"/>
          <w:color w:val="auto"/>
        </w:rPr>
      </w:pPr>
      <w:r>
        <w:rPr>
          <w:rFonts w:ascii="Arial" w:cs="Arial" w:eastAsia="Arial" w:hAnsi="Arial"/>
          <w:sz w:val="16"/>
          <w:szCs w:val="16"/>
          <w:color w:val="auto"/>
        </w:rPr>
        <w:t>The Company recorded the initial $100.0 million payment as a liability on the consolidated balance sheet net of issuance costs.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As of December 31, 2022, royalty payments are not probable and estimable.</w:t>
      </w:r>
    </w:p>
    <w:p>
      <w:pPr>
        <w:spacing w:after="0" w:line="49"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For the years ended December 31, 2022 and 2021, no interest expense was recognized for the liability related to the sale of future royalties.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17"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9"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December 31, 2022. Based upon such evaluation, our principal executive officer and principal financial officer concluded that the design and operation of our disclosure controls and procedures were effective at a reasonable assurance level as of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and 15d-15(f) under the Exchange Act). 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2022.</w:t>
      </w:r>
    </w:p>
    <w:p>
      <w:pPr>
        <w:spacing w:after="0" w:line="68"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We are a non-accelerated filer under the Exchange Act and not required to comply with the auditor attestation requirements of Section 404(b) of the Sarbanes-Oxley Act of 2002. Therefore, this Annual Report does not include an attestation report of our registered public accounting firm regarding the effectiveness of internal control over financial reporting as of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2022,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3" w:name="page114"/>
    <w:bookmarkEnd w:id="113"/>
    <w:p>
      <w:pPr>
        <w:ind w:left="52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December 31, 2022, or the Proxy Statement, under the caption “Executive Officers” and “Board of Directors and Corporate Governance”, and is incorporated in this Annual Report on Form 10-K by reference.</w:t>
      </w:r>
    </w:p>
    <w:p>
      <w:pPr>
        <w:spacing w:after="0" w:line="76"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ir.kodiak.com/corporate-governance/governance-overview.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caption “Executive Compensation” and is incorporated in this Annual Report on Form 10-K by reference.</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caption “Security Ownership of Certain Beneficial Owners and Management”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caption “Related Person Transactions”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caption “Ratification of Appointment of Independent Registered Public Accounting Firm” and is incorporated in this Annual Report on Form 10-K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ind w:left="52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760" w:hanging="243"/>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consolidated financial statements are filed as part of this Annual Report on Form 10-K under Item 8.</w:t>
      </w:r>
    </w:p>
    <w:p>
      <w:pPr>
        <w:spacing w:after="0" w:line="11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All schedules to the consolidated financial statements are omitted as the required information is either inapplicable or presented in the consolidated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 EXHIBITS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69"/>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42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4"/>
                <w:szCs w:val="14"/>
                <w:color w:val="auto"/>
              </w:rPr>
            </w:pPr>
          </w:p>
        </w:tc>
        <w:tc>
          <w:tcPr>
            <w:tcW w:w="16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4"/>
                <w:szCs w:val="14"/>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Filing Date</w:t>
            </w:r>
          </w:p>
        </w:tc>
      </w:tr>
    </w:tbl>
    <w:p>
      <w:pPr>
        <w:spacing w:after="0" w:line="117"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20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3.1</w:t>
            </w:r>
          </w:p>
        </w:tc>
        <w:tc>
          <w:tcPr>
            <w:tcW w:w="4200" w:type="dxa"/>
            <w:vAlign w:val="bottom"/>
            <w:gridSpan w:val="7"/>
          </w:tcPr>
          <w:p>
            <w:pPr>
              <w:spacing w:after="0"/>
              <w:rPr>
                <w:rFonts w:ascii="Arial" w:cs="Arial" w:eastAsia="Arial" w:hAnsi="Arial"/>
                <w:sz w:val="18"/>
                <w:szCs w:val="18"/>
                <w:color w:val="0000FF"/>
                <w:w w:val="98"/>
              </w:rPr>
            </w:pPr>
            <w:hyperlink r:id="rId272">
              <w:r>
                <w:rPr>
                  <w:rFonts w:ascii="Arial" w:cs="Arial" w:eastAsia="Arial" w:hAnsi="Arial"/>
                  <w:sz w:val="18"/>
                  <w:szCs w:val="18"/>
                  <w:color w:val="0000FF"/>
                  <w:w w:val="98"/>
                </w:rPr>
                <w:t>Amended and Restated Certificate of Incorporation of</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gridSpan w:val="7"/>
          </w:tcPr>
          <w:p>
            <w:pPr>
              <w:spacing w:after="0" w:line="196" w:lineRule="exact"/>
              <w:rPr>
                <w:rFonts w:ascii="Arial" w:cs="Arial" w:eastAsia="Arial" w:hAnsi="Arial"/>
                <w:sz w:val="18"/>
                <w:szCs w:val="18"/>
                <w:color w:val="0000FF"/>
              </w:rPr>
            </w:pPr>
            <w:hyperlink r:id="rId272">
              <w:r>
                <w:rPr>
                  <w:rFonts w:ascii="Arial" w:cs="Arial" w:eastAsia="Arial" w:hAnsi="Arial"/>
                  <w:sz w:val="18"/>
                  <w:szCs w:val="18"/>
                  <w:color w:val="0000FF"/>
                </w:rPr>
                <w:t>Kodiak Sciences Inc</w:t>
              </w:r>
              <w:r>
                <w:rPr>
                  <w:rFonts w:ascii="Arial" w:cs="Arial" w:eastAsia="Arial" w:hAnsi="Arial"/>
                  <w:sz w:val="18"/>
                  <w:szCs w:val="18"/>
                  <w:u w:val="single" w:color="auto"/>
                  <w:color w:val="0563C1"/>
                </w:rPr>
                <w:t>.</w:t>
              </w:r>
            </w:hyperlink>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3.2</w:t>
            </w:r>
          </w:p>
        </w:tc>
        <w:tc>
          <w:tcPr>
            <w:tcW w:w="4200" w:type="dxa"/>
            <w:vAlign w:val="bottom"/>
            <w:gridSpan w:val="7"/>
          </w:tcPr>
          <w:p>
            <w:pPr>
              <w:spacing w:after="0"/>
              <w:rPr>
                <w:rFonts w:ascii="Arial" w:cs="Arial" w:eastAsia="Arial" w:hAnsi="Arial"/>
                <w:sz w:val="18"/>
                <w:szCs w:val="18"/>
                <w:color w:val="0000FF"/>
                <w:w w:val="94"/>
              </w:rPr>
            </w:pPr>
            <w:hyperlink r:id="rId273">
              <w:r>
                <w:rPr>
                  <w:rFonts w:ascii="Arial" w:cs="Arial" w:eastAsia="Arial" w:hAnsi="Arial"/>
                  <w:sz w:val="18"/>
                  <w:szCs w:val="18"/>
                  <w:color w:val="0000FF"/>
                  <w:w w:val="94"/>
                </w:rPr>
                <w:t>Amended and Restated Bylaws of Kodiak Sciences Inc.</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4.1</w:t>
            </w:r>
          </w:p>
        </w:tc>
        <w:tc>
          <w:tcPr>
            <w:tcW w:w="4200" w:type="dxa"/>
            <w:vAlign w:val="bottom"/>
            <w:gridSpan w:val="7"/>
          </w:tcPr>
          <w:p>
            <w:pPr>
              <w:spacing w:after="0"/>
              <w:rPr>
                <w:rFonts w:ascii="Arial" w:cs="Arial" w:eastAsia="Arial" w:hAnsi="Arial"/>
                <w:sz w:val="18"/>
                <w:szCs w:val="18"/>
                <w:color w:val="0000FF"/>
              </w:rPr>
            </w:pPr>
            <w:hyperlink r:id="rId274">
              <w:r>
                <w:rPr>
                  <w:rFonts w:ascii="Arial" w:cs="Arial" w:eastAsia="Arial" w:hAnsi="Arial"/>
                  <w:sz w:val="18"/>
                  <w:szCs w:val="18"/>
                  <w:color w:val="0000FF"/>
                </w:rPr>
                <w:t>Form of Common Stock Certificate</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4.2</w:t>
            </w:r>
          </w:p>
        </w:tc>
        <w:tc>
          <w:tcPr>
            <w:tcW w:w="4200" w:type="dxa"/>
            <w:vAlign w:val="bottom"/>
            <w:gridSpan w:val="7"/>
          </w:tcPr>
          <w:p>
            <w:pPr>
              <w:spacing w:after="0"/>
              <w:rPr>
                <w:rFonts w:ascii="Arial" w:cs="Arial" w:eastAsia="Arial" w:hAnsi="Arial"/>
                <w:sz w:val="18"/>
                <w:szCs w:val="18"/>
                <w:color w:val="0000FF"/>
                <w:w w:val="89"/>
              </w:rPr>
            </w:pPr>
            <w:hyperlink r:id="rId275">
              <w:r>
                <w:rPr>
                  <w:rFonts w:ascii="Arial" w:cs="Arial" w:eastAsia="Arial" w:hAnsi="Arial"/>
                  <w:sz w:val="18"/>
                  <w:szCs w:val="18"/>
                  <w:color w:val="0000FF"/>
                  <w:w w:val="89"/>
                </w:rPr>
                <w:t>Investors’ Rights Agreement, dated September 8, 2015, as</w:t>
              </w:r>
            </w:hyperlink>
          </w:p>
        </w:tc>
      </w:tr>
      <w:tr>
        <w:trPr>
          <w:trHeight w:val="20"/>
        </w:trPr>
        <w:tc>
          <w:tcPr>
            <w:tcW w:w="1060" w:type="dxa"/>
            <w:vAlign w:val="bottom"/>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gridSpan w:val="7"/>
          </w:tcPr>
          <w:p>
            <w:pPr>
              <w:spacing w:after="0" w:line="196" w:lineRule="exact"/>
              <w:rPr>
                <w:rFonts w:ascii="Arial" w:cs="Arial" w:eastAsia="Arial" w:hAnsi="Arial"/>
                <w:sz w:val="18"/>
                <w:szCs w:val="18"/>
                <w:color w:val="0000FF"/>
                <w:w w:val="92"/>
              </w:rPr>
            </w:pPr>
            <w:hyperlink r:id="rId275">
              <w:r>
                <w:rPr>
                  <w:rFonts w:ascii="Arial" w:cs="Arial" w:eastAsia="Arial" w:hAnsi="Arial"/>
                  <w:sz w:val="18"/>
                  <w:szCs w:val="18"/>
                  <w:color w:val="0000FF"/>
                  <w:w w:val="92"/>
                </w:rPr>
                <w:t>amended, by and among the registrant and the investors</w:t>
              </w:r>
            </w:hyperlink>
          </w:p>
        </w:tc>
      </w:tr>
      <w:tr>
        <w:trPr>
          <w:trHeight w:val="20"/>
        </w:trPr>
        <w:tc>
          <w:tcPr>
            <w:tcW w:w="1060" w:type="dxa"/>
            <w:vAlign w:val="bottom"/>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gridSpan w:val="7"/>
          </w:tcPr>
          <w:p>
            <w:pPr>
              <w:spacing w:after="0" w:line="196" w:lineRule="exact"/>
              <w:rPr>
                <w:rFonts w:ascii="Arial" w:cs="Arial" w:eastAsia="Arial" w:hAnsi="Arial"/>
                <w:sz w:val="18"/>
                <w:szCs w:val="18"/>
                <w:color w:val="0000FF"/>
              </w:rPr>
            </w:pPr>
            <w:hyperlink r:id="rId275">
              <w:r>
                <w:rPr>
                  <w:rFonts w:ascii="Arial" w:cs="Arial" w:eastAsia="Arial" w:hAnsi="Arial"/>
                  <w:sz w:val="18"/>
                  <w:szCs w:val="18"/>
                  <w:color w:val="0000FF"/>
                </w:rPr>
                <w:t>and founders named therein</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720" w:type="dxa"/>
            <w:vAlign w:val="bottom"/>
          </w:tcPr>
          <w:p>
            <w:pPr>
              <w:ind w:left="400"/>
              <w:spacing w:after="0"/>
              <w:rPr>
                <w:sz w:val="20"/>
                <w:szCs w:val="20"/>
                <w:color w:val="auto"/>
              </w:rPr>
            </w:pPr>
            <w:r>
              <w:rPr>
                <w:rFonts w:ascii="Arial" w:cs="Arial" w:eastAsia="Arial" w:hAnsi="Arial"/>
                <w:sz w:val="18"/>
                <w:szCs w:val="18"/>
                <w:color w:val="auto"/>
              </w:rPr>
              <w:t>001-38682</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1300" w:type="dxa"/>
            <w:vAlign w:val="bottom"/>
          </w:tcPr>
          <w:p>
            <w:pPr>
              <w:ind w:left="480"/>
              <w:spacing w:after="0"/>
              <w:rPr>
                <w:sz w:val="20"/>
                <w:szCs w:val="20"/>
                <w:color w:val="auto"/>
              </w:rPr>
            </w:pPr>
            <w:r>
              <w:rPr>
                <w:rFonts w:ascii="Arial" w:cs="Arial" w:eastAsia="Arial" w:hAnsi="Arial"/>
                <w:sz w:val="18"/>
                <w:szCs w:val="18"/>
                <w:color w:val="auto"/>
                <w:w w:val="88"/>
              </w:rPr>
              <w:t>11/16/2018</w:t>
            </w:r>
          </w:p>
        </w:tc>
      </w:tr>
      <w:tr>
        <w:trPr>
          <w:trHeight w:val="594"/>
        </w:trPr>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720" w:type="dxa"/>
            <w:vAlign w:val="bottom"/>
          </w:tcPr>
          <w:p>
            <w:pPr>
              <w:ind w:left="400"/>
              <w:spacing w:after="0"/>
              <w:rPr>
                <w:sz w:val="20"/>
                <w:szCs w:val="20"/>
                <w:color w:val="auto"/>
              </w:rPr>
            </w:pPr>
            <w:r>
              <w:rPr>
                <w:rFonts w:ascii="Arial" w:cs="Arial" w:eastAsia="Arial" w:hAnsi="Arial"/>
                <w:sz w:val="18"/>
                <w:szCs w:val="18"/>
                <w:color w:val="auto"/>
              </w:rPr>
              <w:t>001-38682</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1300" w:type="dxa"/>
            <w:vAlign w:val="bottom"/>
          </w:tcPr>
          <w:p>
            <w:pPr>
              <w:ind w:left="480"/>
              <w:spacing w:after="0"/>
              <w:rPr>
                <w:sz w:val="20"/>
                <w:szCs w:val="20"/>
                <w:color w:val="auto"/>
              </w:rPr>
            </w:pPr>
            <w:r>
              <w:rPr>
                <w:rFonts w:ascii="Arial" w:cs="Arial" w:eastAsia="Arial" w:hAnsi="Arial"/>
                <w:sz w:val="18"/>
                <w:szCs w:val="18"/>
                <w:color w:val="auto"/>
                <w:w w:val="88"/>
              </w:rPr>
              <w:t>11/16/2018</w:t>
            </w:r>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ind w:left="400"/>
              <w:spacing w:after="0"/>
              <w:rPr>
                <w:sz w:val="20"/>
                <w:szCs w:val="20"/>
                <w:color w:val="auto"/>
              </w:rPr>
            </w:pPr>
            <w:r>
              <w:rPr>
                <w:rFonts w:ascii="Arial" w:cs="Arial" w:eastAsia="Arial" w:hAnsi="Arial"/>
                <w:sz w:val="18"/>
                <w:szCs w:val="18"/>
                <w:color w:val="auto"/>
              </w:rPr>
              <w:t>333-227237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1300" w:type="dxa"/>
            <w:vAlign w:val="bottom"/>
          </w:tcPr>
          <w:p>
            <w:pPr>
              <w:ind w:left="480"/>
              <w:spacing w:after="0"/>
              <w:rPr>
                <w:sz w:val="20"/>
                <w:szCs w:val="20"/>
                <w:color w:val="auto"/>
              </w:rPr>
            </w:pPr>
            <w:r>
              <w:rPr>
                <w:rFonts w:ascii="Arial" w:cs="Arial" w:eastAsia="Arial" w:hAnsi="Arial"/>
                <w:sz w:val="18"/>
                <w:szCs w:val="18"/>
                <w:color w:val="auto"/>
                <w:w w:val="99"/>
              </w:rPr>
              <w:t>9/24/2018</w:t>
            </w:r>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ind w:left="400"/>
              <w:spacing w:after="0"/>
              <w:rPr>
                <w:sz w:val="20"/>
                <w:szCs w:val="20"/>
                <w:color w:val="auto"/>
              </w:rPr>
            </w:pPr>
            <w:r>
              <w:rPr>
                <w:rFonts w:ascii="Arial" w:cs="Arial" w:eastAsia="Arial" w:hAnsi="Arial"/>
                <w:sz w:val="18"/>
                <w:szCs w:val="18"/>
                <w:color w:val="auto"/>
              </w:rPr>
              <w:t>333-227237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1300" w:type="dxa"/>
            <w:vAlign w:val="bottom"/>
          </w:tcPr>
          <w:p>
            <w:pPr>
              <w:ind w:left="480"/>
              <w:spacing w:after="0"/>
              <w:rPr>
                <w:sz w:val="20"/>
                <w:szCs w:val="20"/>
                <w:color w:val="auto"/>
              </w:rPr>
            </w:pPr>
            <w:r>
              <w:rPr>
                <w:rFonts w:ascii="Arial" w:cs="Arial" w:eastAsia="Arial" w:hAnsi="Arial"/>
                <w:sz w:val="18"/>
                <w:szCs w:val="18"/>
                <w:color w:val="auto"/>
                <w:w w:val="99"/>
              </w:rPr>
              <w:t>9/24/2018</w:t>
            </w:r>
          </w:p>
        </w:tc>
      </w:tr>
    </w:tbl>
    <w:p>
      <w:pPr>
        <w:spacing w:after="0" w:line="549" w:lineRule="exact"/>
        <w:rPr>
          <w:sz w:val="20"/>
          <w:szCs w:val="20"/>
          <w:color w:val="auto"/>
        </w:rPr>
      </w:pPr>
    </w:p>
    <w:p>
      <w:pPr>
        <w:sectPr>
          <w:pgSz w:w="11900" w:h="16838" w:orient="portrait"/>
          <w:cols w:equalWidth="0" w:num="2">
            <w:col w:w="5460" w:space="240"/>
            <w:col w:w="5540"/>
          </w:cols>
          <w:pgMar w:left="320" w:top="337" w:right="3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140" w:type="dxa"/>
            <w:vAlign w:val="bottom"/>
          </w:tcPr>
          <w:p>
            <w:pPr>
              <w:jc w:val="center"/>
              <w:ind w:right="670"/>
              <w:spacing w:after="0"/>
              <w:rPr>
                <w:sz w:val="20"/>
                <w:szCs w:val="20"/>
                <w:color w:val="auto"/>
              </w:rPr>
            </w:pPr>
            <w:r>
              <w:rPr>
                <w:rFonts w:ascii="Arial" w:cs="Arial" w:eastAsia="Arial" w:hAnsi="Arial"/>
                <w:sz w:val="18"/>
                <w:szCs w:val="18"/>
                <w:color w:val="auto"/>
                <w:w w:val="87"/>
              </w:rPr>
              <w:t>4.5</w:t>
            </w:r>
          </w:p>
        </w:tc>
        <w:tc>
          <w:tcPr>
            <w:tcW w:w="4120" w:type="dxa"/>
            <w:vAlign w:val="bottom"/>
            <w:gridSpan w:val="8"/>
          </w:tcPr>
          <w:p>
            <w:pPr>
              <w:spacing w:after="0"/>
              <w:rPr>
                <w:rFonts w:ascii="Arial" w:cs="Arial" w:eastAsia="Arial" w:hAnsi="Arial"/>
                <w:sz w:val="18"/>
                <w:szCs w:val="18"/>
                <w:color w:val="0000FF"/>
              </w:rPr>
            </w:pPr>
            <w:hyperlink r:id="rId276">
              <w:r>
                <w:rPr>
                  <w:rFonts w:ascii="Arial" w:cs="Arial" w:eastAsia="Arial" w:hAnsi="Arial"/>
                  <w:sz w:val="18"/>
                  <w:szCs w:val="18"/>
                  <w:color w:val="0000FF"/>
                </w:rPr>
                <w:t>Form of Class B Share Warrant</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40" w:type="dxa"/>
            <w:vAlign w:val="bottom"/>
          </w:tcPr>
          <w:p>
            <w:pPr>
              <w:jc w:val="center"/>
              <w:ind w:right="670"/>
              <w:spacing w:after="0"/>
              <w:rPr>
                <w:sz w:val="20"/>
                <w:szCs w:val="20"/>
                <w:color w:val="auto"/>
              </w:rPr>
            </w:pPr>
            <w:r>
              <w:rPr>
                <w:rFonts w:ascii="Arial" w:cs="Arial" w:eastAsia="Arial" w:hAnsi="Arial"/>
                <w:sz w:val="18"/>
                <w:szCs w:val="18"/>
                <w:color w:val="auto"/>
                <w:w w:val="87"/>
              </w:rPr>
              <w:t>4.6</w:t>
            </w:r>
          </w:p>
        </w:tc>
        <w:tc>
          <w:tcPr>
            <w:tcW w:w="4120" w:type="dxa"/>
            <w:vAlign w:val="bottom"/>
            <w:gridSpan w:val="8"/>
          </w:tcPr>
          <w:p>
            <w:pPr>
              <w:spacing w:after="0"/>
              <w:rPr>
                <w:rFonts w:ascii="Arial" w:cs="Arial" w:eastAsia="Arial" w:hAnsi="Arial"/>
                <w:sz w:val="18"/>
                <w:szCs w:val="18"/>
                <w:color w:val="0000FF"/>
              </w:rPr>
            </w:pPr>
            <w:hyperlink r:id="rId277">
              <w:r>
                <w:rPr>
                  <w:rFonts w:ascii="Arial" w:cs="Arial" w:eastAsia="Arial" w:hAnsi="Arial"/>
                  <w:sz w:val="18"/>
                  <w:szCs w:val="18"/>
                  <w:color w:val="0000FF"/>
                </w:rPr>
                <w:t>Description of Securities</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40" w:type="dxa"/>
            <w:vAlign w:val="bottom"/>
          </w:tcPr>
          <w:p>
            <w:pPr>
              <w:jc w:val="center"/>
              <w:ind w:right="670"/>
              <w:spacing w:after="0"/>
              <w:rPr>
                <w:sz w:val="20"/>
                <w:szCs w:val="20"/>
                <w:color w:val="auto"/>
              </w:rPr>
            </w:pPr>
            <w:r>
              <w:rPr>
                <w:rFonts w:ascii="Arial" w:cs="Arial" w:eastAsia="Arial" w:hAnsi="Arial"/>
                <w:sz w:val="18"/>
                <w:szCs w:val="18"/>
                <w:color w:val="auto"/>
                <w:w w:val="87"/>
              </w:rPr>
              <w:t>4.7</w:t>
            </w:r>
          </w:p>
        </w:tc>
        <w:tc>
          <w:tcPr>
            <w:tcW w:w="4120" w:type="dxa"/>
            <w:vAlign w:val="bottom"/>
            <w:gridSpan w:val="8"/>
          </w:tcPr>
          <w:p>
            <w:pPr>
              <w:spacing w:after="0"/>
              <w:rPr>
                <w:rFonts w:ascii="Arial" w:cs="Arial" w:eastAsia="Arial" w:hAnsi="Arial"/>
                <w:sz w:val="18"/>
                <w:szCs w:val="18"/>
                <w:color w:val="0000FF"/>
                <w:w w:val="91"/>
              </w:rPr>
            </w:pPr>
            <w:hyperlink r:id="rId278">
              <w:r>
                <w:rPr>
                  <w:rFonts w:ascii="Arial" w:cs="Arial" w:eastAsia="Arial" w:hAnsi="Arial"/>
                  <w:sz w:val="18"/>
                  <w:szCs w:val="18"/>
                  <w:color w:val="0000FF"/>
                  <w:w w:val="91"/>
                </w:rPr>
                <w:t>Registration Rights Agreement, dated March 1, 2021, by</w:t>
              </w:r>
            </w:hyperlink>
          </w:p>
        </w:tc>
      </w:tr>
      <w:tr>
        <w:trPr>
          <w:trHeight w:val="20"/>
        </w:trPr>
        <w:tc>
          <w:tcPr>
            <w:tcW w:w="1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gridSpan w:val="8"/>
          </w:tcPr>
          <w:p>
            <w:pPr>
              <w:spacing w:after="0" w:line="196" w:lineRule="exact"/>
              <w:rPr>
                <w:rFonts w:ascii="Arial" w:cs="Arial" w:eastAsia="Arial" w:hAnsi="Arial"/>
                <w:sz w:val="18"/>
                <w:szCs w:val="18"/>
                <w:color w:val="0000FF"/>
                <w:w w:val="88"/>
              </w:rPr>
            </w:pPr>
            <w:hyperlink r:id="rId278">
              <w:r>
                <w:rPr>
                  <w:rFonts w:ascii="Arial" w:cs="Arial" w:eastAsia="Arial" w:hAnsi="Arial"/>
                  <w:sz w:val="18"/>
                  <w:szCs w:val="18"/>
                  <w:color w:val="0000FF"/>
                  <w:w w:val="88"/>
                </w:rPr>
                <w:t>and among the registrant and the investors named therein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358"/>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87"/>
              </w:rPr>
              <w:t>10.1+</w:t>
            </w:r>
          </w:p>
        </w:tc>
        <w:tc>
          <w:tcPr>
            <w:tcW w:w="4120" w:type="dxa"/>
            <w:vAlign w:val="bottom"/>
            <w:gridSpan w:val="8"/>
          </w:tcPr>
          <w:p>
            <w:pPr>
              <w:spacing w:after="0"/>
              <w:rPr>
                <w:rFonts w:ascii="Arial" w:cs="Arial" w:eastAsia="Arial" w:hAnsi="Arial"/>
                <w:sz w:val="18"/>
                <w:szCs w:val="18"/>
                <w:color w:val="0000FF"/>
                <w:w w:val="92"/>
              </w:rPr>
            </w:pPr>
            <w:hyperlink r:id="rId279">
              <w:r>
                <w:rPr>
                  <w:rFonts w:ascii="Arial" w:cs="Arial" w:eastAsia="Arial" w:hAnsi="Arial"/>
                  <w:sz w:val="18"/>
                  <w:szCs w:val="18"/>
                  <w:color w:val="0000FF"/>
                  <w:w w:val="92"/>
                </w:rPr>
                <w:t>Form of Director and Officer Indemnification Agreement</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371"/>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87"/>
              </w:rPr>
              <w:t>10.2+</w:t>
            </w:r>
          </w:p>
        </w:tc>
        <w:tc>
          <w:tcPr>
            <w:tcW w:w="4120" w:type="dxa"/>
            <w:vAlign w:val="bottom"/>
            <w:gridSpan w:val="8"/>
          </w:tcPr>
          <w:p>
            <w:pPr>
              <w:spacing w:after="0"/>
              <w:rPr>
                <w:rFonts w:ascii="Arial" w:cs="Arial" w:eastAsia="Arial" w:hAnsi="Arial"/>
                <w:sz w:val="18"/>
                <w:szCs w:val="18"/>
                <w:color w:val="0000FF"/>
              </w:rPr>
            </w:pPr>
            <w:hyperlink r:id="rId280">
              <w:r>
                <w:rPr>
                  <w:rFonts w:ascii="Arial" w:cs="Arial" w:eastAsia="Arial" w:hAnsi="Arial"/>
                  <w:sz w:val="18"/>
                  <w:szCs w:val="18"/>
                  <w:color w:val="0000FF"/>
                </w:rPr>
                <w:t>2009 Options and Profits Interest 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87"/>
              </w:rPr>
              <w:t>10.3+</w:t>
            </w:r>
          </w:p>
        </w:tc>
        <w:tc>
          <w:tcPr>
            <w:tcW w:w="4120" w:type="dxa"/>
            <w:vAlign w:val="bottom"/>
            <w:gridSpan w:val="8"/>
          </w:tcPr>
          <w:p>
            <w:pPr>
              <w:spacing w:after="0"/>
              <w:rPr>
                <w:rFonts w:ascii="Arial" w:cs="Arial" w:eastAsia="Arial" w:hAnsi="Arial"/>
                <w:sz w:val="18"/>
                <w:szCs w:val="18"/>
                <w:color w:val="0000FF"/>
              </w:rPr>
            </w:pPr>
            <w:hyperlink r:id="rId281">
              <w:r>
                <w:rPr>
                  <w:rFonts w:ascii="Arial" w:cs="Arial" w:eastAsia="Arial" w:hAnsi="Arial"/>
                  <w:sz w:val="18"/>
                  <w:szCs w:val="18"/>
                  <w:color w:val="0000FF"/>
                </w:rPr>
                <w:t>2015 Share Incentive 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40" w:type="dxa"/>
            <w:vAlign w:val="bottom"/>
          </w:tcPr>
          <w:p>
            <w:pPr>
              <w:jc w:val="center"/>
              <w:ind w:right="650"/>
              <w:spacing w:after="0"/>
              <w:rPr>
                <w:sz w:val="20"/>
                <w:szCs w:val="20"/>
                <w:color w:val="auto"/>
              </w:rPr>
            </w:pPr>
            <w:r>
              <w:rPr>
                <w:rFonts w:ascii="Arial" w:cs="Arial" w:eastAsia="Arial" w:hAnsi="Arial"/>
                <w:sz w:val="18"/>
                <w:szCs w:val="18"/>
                <w:color w:val="auto"/>
                <w:w w:val="87"/>
              </w:rPr>
              <w:t>10.4+</w:t>
            </w:r>
          </w:p>
        </w:tc>
        <w:tc>
          <w:tcPr>
            <w:tcW w:w="4120" w:type="dxa"/>
            <w:vAlign w:val="bottom"/>
            <w:gridSpan w:val="8"/>
          </w:tcPr>
          <w:p>
            <w:pPr>
              <w:spacing w:after="0"/>
              <w:rPr>
                <w:rFonts w:ascii="Arial" w:cs="Arial" w:eastAsia="Arial" w:hAnsi="Arial"/>
                <w:sz w:val="18"/>
                <w:szCs w:val="18"/>
                <w:color w:val="0000FF"/>
                <w:w w:val="93"/>
              </w:rPr>
            </w:pPr>
            <w:hyperlink r:id="rId282">
              <w:r>
                <w:rPr>
                  <w:rFonts w:ascii="Arial" w:cs="Arial" w:eastAsia="Arial" w:hAnsi="Arial"/>
                  <w:sz w:val="18"/>
                  <w:szCs w:val="18"/>
                  <w:color w:val="0000FF"/>
                  <w:w w:val="93"/>
                </w:rPr>
                <w:t>Form of Notice of Stock Option Grant and Stock Option</w:t>
              </w:r>
            </w:hyperlink>
          </w:p>
        </w:tc>
      </w:tr>
      <w:tr>
        <w:trPr>
          <w:trHeight w:val="20"/>
        </w:trPr>
        <w:tc>
          <w:tcPr>
            <w:tcW w:w="1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gridSpan w:val="8"/>
          </w:tcPr>
          <w:p>
            <w:pPr>
              <w:spacing w:after="0" w:line="196" w:lineRule="exact"/>
              <w:rPr>
                <w:rFonts w:ascii="Arial" w:cs="Arial" w:eastAsia="Arial" w:hAnsi="Arial"/>
                <w:sz w:val="18"/>
                <w:szCs w:val="18"/>
                <w:color w:val="0000FF"/>
                <w:w w:val="95"/>
              </w:rPr>
            </w:pPr>
            <w:hyperlink r:id="rId282">
              <w:r>
                <w:rPr>
                  <w:rFonts w:ascii="Arial" w:cs="Arial" w:eastAsia="Arial" w:hAnsi="Arial"/>
                  <w:sz w:val="18"/>
                  <w:szCs w:val="18"/>
                  <w:color w:val="0000FF"/>
                  <w:w w:val="95"/>
                </w:rPr>
                <w:t>Agreement under the 2009 Option and Profits Interest</w:t>
              </w:r>
            </w:hyperlink>
          </w:p>
        </w:tc>
      </w:tr>
      <w:tr>
        <w:trPr>
          <w:trHeight w:val="20"/>
        </w:trPr>
        <w:tc>
          <w:tcPr>
            <w:tcW w:w="1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gridSpan w:val="8"/>
          </w:tcPr>
          <w:p>
            <w:pPr>
              <w:spacing w:after="0" w:line="196" w:lineRule="exact"/>
              <w:rPr>
                <w:rFonts w:ascii="Arial" w:cs="Arial" w:eastAsia="Arial" w:hAnsi="Arial"/>
                <w:sz w:val="18"/>
                <w:szCs w:val="18"/>
                <w:color w:val="0000FF"/>
              </w:rPr>
            </w:pPr>
            <w:hyperlink r:id="rId282">
              <w:r>
                <w:rPr>
                  <w:rFonts w:ascii="Arial" w:cs="Arial" w:eastAsia="Arial" w:hAnsi="Arial"/>
                  <w:sz w:val="18"/>
                  <w:szCs w:val="18"/>
                  <w:color w:val="0000FF"/>
                </w:rPr>
                <w:t>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ind w:left="400"/>
              <w:spacing w:after="0"/>
              <w:rPr>
                <w:sz w:val="20"/>
                <w:szCs w:val="20"/>
                <w:color w:val="auto"/>
              </w:rPr>
            </w:pPr>
            <w:r>
              <w:rPr>
                <w:rFonts w:ascii="Arial" w:cs="Arial" w:eastAsia="Arial" w:hAnsi="Arial"/>
                <w:sz w:val="18"/>
                <w:szCs w:val="18"/>
                <w:color w:val="auto"/>
              </w:rPr>
              <w:t>333-227237</w:t>
            </w:r>
          </w:p>
        </w:tc>
        <w:tc>
          <w:tcPr>
            <w:tcW w:w="1200" w:type="dxa"/>
            <w:vAlign w:val="bottom"/>
          </w:tcPr>
          <w:p>
            <w:pPr>
              <w:ind w:left="440"/>
              <w:spacing w:after="0"/>
              <w:rPr>
                <w:sz w:val="20"/>
                <w:szCs w:val="20"/>
                <w:color w:val="auto"/>
              </w:rPr>
            </w:pPr>
            <w:r>
              <w:rPr>
                <w:rFonts w:ascii="Arial" w:cs="Arial" w:eastAsia="Arial" w:hAnsi="Arial"/>
                <w:sz w:val="18"/>
                <w:szCs w:val="18"/>
                <w:color w:val="auto"/>
              </w:rPr>
              <w:t>4.5</w:t>
            </w:r>
          </w:p>
        </w:tc>
        <w:tc>
          <w:tcPr>
            <w:tcW w:w="1160" w:type="dxa"/>
            <w:vAlign w:val="bottom"/>
          </w:tcPr>
          <w:p>
            <w:pPr>
              <w:ind w:left="420"/>
              <w:spacing w:after="0"/>
              <w:rPr>
                <w:sz w:val="20"/>
                <w:szCs w:val="20"/>
                <w:color w:val="auto"/>
              </w:rPr>
            </w:pPr>
            <w:r>
              <w:rPr>
                <w:rFonts w:ascii="Arial" w:cs="Arial" w:eastAsia="Arial" w:hAnsi="Arial"/>
                <w:sz w:val="18"/>
                <w:szCs w:val="18"/>
                <w:color w:val="auto"/>
              </w:rPr>
              <w:t>9/7/2018</w:t>
            </w: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10-K</w:t>
            </w:r>
          </w:p>
        </w:tc>
        <w:tc>
          <w:tcPr>
            <w:tcW w:w="1720" w:type="dxa"/>
            <w:vAlign w:val="bottom"/>
          </w:tcPr>
          <w:p>
            <w:pPr>
              <w:ind w:left="400"/>
              <w:spacing w:after="0"/>
              <w:rPr>
                <w:sz w:val="20"/>
                <w:szCs w:val="20"/>
                <w:color w:val="auto"/>
              </w:rPr>
            </w:pPr>
            <w:r>
              <w:rPr>
                <w:rFonts w:ascii="Arial" w:cs="Arial" w:eastAsia="Arial" w:hAnsi="Arial"/>
                <w:sz w:val="18"/>
                <w:szCs w:val="18"/>
                <w:color w:val="auto"/>
              </w:rPr>
              <w:t>001-38682</w:t>
            </w:r>
          </w:p>
        </w:tc>
        <w:tc>
          <w:tcPr>
            <w:tcW w:w="1200" w:type="dxa"/>
            <w:vAlign w:val="bottom"/>
          </w:tcPr>
          <w:p>
            <w:pPr>
              <w:ind w:left="440"/>
              <w:spacing w:after="0"/>
              <w:rPr>
                <w:sz w:val="20"/>
                <w:szCs w:val="20"/>
                <w:color w:val="auto"/>
              </w:rPr>
            </w:pPr>
            <w:r>
              <w:rPr>
                <w:rFonts w:ascii="Arial" w:cs="Arial" w:eastAsia="Arial" w:hAnsi="Arial"/>
                <w:sz w:val="18"/>
                <w:szCs w:val="18"/>
                <w:color w:val="auto"/>
              </w:rPr>
              <w:t>4.6</w:t>
            </w:r>
          </w:p>
        </w:tc>
        <w:tc>
          <w:tcPr>
            <w:tcW w:w="1160" w:type="dxa"/>
            <w:vAlign w:val="bottom"/>
          </w:tcPr>
          <w:p>
            <w:pPr>
              <w:ind w:left="420"/>
              <w:spacing w:after="0"/>
              <w:rPr>
                <w:sz w:val="20"/>
                <w:szCs w:val="20"/>
                <w:color w:val="auto"/>
              </w:rPr>
            </w:pPr>
            <w:r>
              <w:rPr>
                <w:rFonts w:ascii="Arial" w:cs="Arial" w:eastAsia="Arial" w:hAnsi="Arial"/>
                <w:sz w:val="18"/>
                <w:szCs w:val="18"/>
                <w:color w:val="auto"/>
                <w:w w:val="89"/>
              </w:rPr>
              <w:t>3/16/2020</w:t>
            </w: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10-K</w:t>
            </w:r>
          </w:p>
        </w:tc>
        <w:tc>
          <w:tcPr>
            <w:tcW w:w="1720" w:type="dxa"/>
            <w:vAlign w:val="bottom"/>
          </w:tcPr>
          <w:p>
            <w:pPr>
              <w:ind w:left="400"/>
              <w:spacing w:after="0"/>
              <w:rPr>
                <w:sz w:val="20"/>
                <w:szCs w:val="20"/>
                <w:color w:val="auto"/>
              </w:rPr>
            </w:pPr>
            <w:r>
              <w:rPr>
                <w:rFonts w:ascii="Arial" w:cs="Arial" w:eastAsia="Arial" w:hAnsi="Arial"/>
                <w:sz w:val="18"/>
                <w:szCs w:val="18"/>
                <w:color w:val="auto"/>
              </w:rPr>
              <w:t>001-38682</w:t>
            </w:r>
          </w:p>
        </w:tc>
        <w:tc>
          <w:tcPr>
            <w:tcW w:w="1200" w:type="dxa"/>
            <w:vAlign w:val="bottom"/>
          </w:tcPr>
          <w:p>
            <w:pPr>
              <w:ind w:left="440"/>
              <w:spacing w:after="0"/>
              <w:rPr>
                <w:sz w:val="20"/>
                <w:szCs w:val="20"/>
                <w:color w:val="auto"/>
              </w:rPr>
            </w:pPr>
            <w:r>
              <w:rPr>
                <w:rFonts w:ascii="Arial" w:cs="Arial" w:eastAsia="Arial" w:hAnsi="Arial"/>
                <w:sz w:val="18"/>
                <w:szCs w:val="18"/>
                <w:color w:val="auto"/>
              </w:rPr>
              <w:t>4.7</w:t>
            </w:r>
          </w:p>
        </w:tc>
        <w:tc>
          <w:tcPr>
            <w:tcW w:w="1160" w:type="dxa"/>
            <w:vAlign w:val="bottom"/>
          </w:tcPr>
          <w:p>
            <w:pPr>
              <w:ind w:left="420"/>
              <w:spacing w:after="0"/>
              <w:rPr>
                <w:sz w:val="20"/>
                <w:szCs w:val="20"/>
                <w:color w:val="auto"/>
              </w:rPr>
            </w:pPr>
            <w:r>
              <w:rPr>
                <w:rFonts w:ascii="Arial" w:cs="Arial" w:eastAsia="Arial" w:hAnsi="Arial"/>
                <w:sz w:val="18"/>
                <w:szCs w:val="18"/>
                <w:color w:val="auto"/>
              </w:rPr>
              <w:t>3/1/2021</w:t>
            </w:r>
          </w:p>
        </w:tc>
      </w:tr>
      <w:tr>
        <w:trPr>
          <w:trHeight w:val="594"/>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ind w:left="400"/>
              <w:spacing w:after="0"/>
              <w:rPr>
                <w:sz w:val="20"/>
                <w:szCs w:val="20"/>
                <w:color w:val="auto"/>
              </w:rPr>
            </w:pPr>
            <w:r>
              <w:rPr>
                <w:rFonts w:ascii="Arial" w:cs="Arial" w:eastAsia="Arial" w:hAnsi="Arial"/>
                <w:sz w:val="18"/>
                <w:szCs w:val="18"/>
                <w:color w:val="auto"/>
              </w:rPr>
              <w:t>333-227237</w:t>
            </w:r>
          </w:p>
        </w:tc>
        <w:tc>
          <w:tcPr>
            <w:tcW w:w="1200" w:type="dxa"/>
            <w:vAlign w:val="bottom"/>
          </w:tcPr>
          <w:p>
            <w:pPr>
              <w:ind w:left="440"/>
              <w:spacing w:after="0"/>
              <w:rPr>
                <w:sz w:val="20"/>
                <w:szCs w:val="20"/>
                <w:color w:val="auto"/>
              </w:rPr>
            </w:pPr>
            <w:r>
              <w:rPr>
                <w:rFonts w:ascii="Arial" w:cs="Arial" w:eastAsia="Arial" w:hAnsi="Arial"/>
                <w:sz w:val="18"/>
                <w:szCs w:val="18"/>
                <w:color w:val="auto"/>
              </w:rPr>
              <w:t>10.1</w:t>
            </w:r>
          </w:p>
        </w:tc>
        <w:tc>
          <w:tcPr>
            <w:tcW w:w="1160" w:type="dxa"/>
            <w:vAlign w:val="bottom"/>
          </w:tcPr>
          <w:p>
            <w:pPr>
              <w:ind w:left="420"/>
              <w:spacing w:after="0"/>
              <w:rPr>
                <w:sz w:val="20"/>
                <w:szCs w:val="20"/>
                <w:color w:val="auto"/>
              </w:rPr>
            </w:pPr>
            <w:r>
              <w:rPr>
                <w:rFonts w:ascii="Arial" w:cs="Arial" w:eastAsia="Arial" w:hAnsi="Arial"/>
                <w:sz w:val="18"/>
                <w:szCs w:val="18"/>
                <w:color w:val="auto"/>
                <w:w w:val="89"/>
              </w:rPr>
              <w:t>9/24/2018</w:t>
            </w: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1720" w:type="dxa"/>
            <w:vAlign w:val="bottom"/>
          </w:tcPr>
          <w:p>
            <w:pPr>
              <w:ind w:left="400"/>
              <w:spacing w:after="0"/>
              <w:rPr>
                <w:sz w:val="20"/>
                <w:szCs w:val="20"/>
                <w:color w:val="auto"/>
              </w:rPr>
            </w:pPr>
            <w:r>
              <w:rPr>
                <w:rFonts w:ascii="Arial" w:cs="Arial" w:eastAsia="Arial" w:hAnsi="Arial"/>
                <w:sz w:val="18"/>
                <w:szCs w:val="18"/>
                <w:color w:val="auto"/>
              </w:rPr>
              <w:t>333-227237</w:t>
            </w:r>
          </w:p>
        </w:tc>
        <w:tc>
          <w:tcPr>
            <w:tcW w:w="1200" w:type="dxa"/>
            <w:vAlign w:val="bottom"/>
          </w:tcPr>
          <w:p>
            <w:pPr>
              <w:ind w:left="440"/>
              <w:spacing w:after="0"/>
              <w:rPr>
                <w:sz w:val="20"/>
                <w:szCs w:val="20"/>
                <w:color w:val="auto"/>
              </w:rPr>
            </w:pPr>
            <w:r>
              <w:rPr>
                <w:rFonts w:ascii="Arial" w:cs="Arial" w:eastAsia="Arial" w:hAnsi="Arial"/>
                <w:sz w:val="18"/>
                <w:szCs w:val="18"/>
                <w:color w:val="auto"/>
              </w:rPr>
              <w:t>10.2</w:t>
            </w:r>
          </w:p>
        </w:tc>
        <w:tc>
          <w:tcPr>
            <w:tcW w:w="1160" w:type="dxa"/>
            <w:vAlign w:val="bottom"/>
          </w:tcPr>
          <w:p>
            <w:pPr>
              <w:ind w:left="420"/>
              <w:spacing w:after="0"/>
              <w:rPr>
                <w:sz w:val="20"/>
                <w:szCs w:val="20"/>
                <w:color w:val="auto"/>
              </w:rPr>
            </w:pPr>
            <w:r>
              <w:rPr>
                <w:rFonts w:ascii="Arial" w:cs="Arial" w:eastAsia="Arial" w:hAnsi="Arial"/>
                <w:sz w:val="18"/>
                <w:szCs w:val="18"/>
                <w:color w:val="auto"/>
              </w:rPr>
              <w:t>9/7/2018</w:t>
            </w:r>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1720" w:type="dxa"/>
            <w:vAlign w:val="bottom"/>
          </w:tcPr>
          <w:p>
            <w:pPr>
              <w:ind w:left="400"/>
              <w:spacing w:after="0"/>
              <w:rPr>
                <w:sz w:val="20"/>
                <w:szCs w:val="20"/>
                <w:color w:val="auto"/>
              </w:rPr>
            </w:pPr>
            <w:r>
              <w:rPr>
                <w:rFonts w:ascii="Arial" w:cs="Arial" w:eastAsia="Arial" w:hAnsi="Arial"/>
                <w:sz w:val="18"/>
                <w:szCs w:val="18"/>
                <w:color w:val="auto"/>
              </w:rPr>
              <w:t>333-227237</w:t>
            </w:r>
          </w:p>
        </w:tc>
        <w:tc>
          <w:tcPr>
            <w:tcW w:w="1200" w:type="dxa"/>
            <w:vAlign w:val="bottom"/>
          </w:tcPr>
          <w:p>
            <w:pPr>
              <w:ind w:left="440"/>
              <w:spacing w:after="0"/>
              <w:rPr>
                <w:sz w:val="20"/>
                <w:szCs w:val="20"/>
                <w:color w:val="auto"/>
              </w:rPr>
            </w:pPr>
            <w:r>
              <w:rPr>
                <w:rFonts w:ascii="Arial" w:cs="Arial" w:eastAsia="Arial" w:hAnsi="Arial"/>
                <w:sz w:val="18"/>
                <w:szCs w:val="18"/>
                <w:color w:val="auto"/>
              </w:rPr>
              <w:t>10.3</w:t>
            </w:r>
          </w:p>
        </w:tc>
        <w:tc>
          <w:tcPr>
            <w:tcW w:w="1160" w:type="dxa"/>
            <w:vAlign w:val="bottom"/>
          </w:tcPr>
          <w:p>
            <w:pPr>
              <w:ind w:left="420"/>
              <w:spacing w:after="0"/>
              <w:rPr>
                <w:sz w:val="20"/>
                <w:szCs w:val="20"/>
                <w:color w:val="auto"/>
              </w:rPr>
            </w:pPr>
            <w:r>
              <w:rPr>
                <w:rFonts w:ascii="Arial" w:cs="Arial" w:eastAsia="Arial" w:hAnsi="Arial"/>
                <w:sz w:val="18"/>
                <w:szCs w:val="18"/>
                <w:color w:val="auto"/>
              </w:rPr>
              <w:t>9/7/2018</w:t>
            </w: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1720" w:type="dxa"/>
            <w:vAlign w:val="bottom"/>
          </w:tcPr>
          <w:p>
            <w:pPr>
              <w:ind w:left="400"/>
              <w:spacing w:after="0"/>
              <w:rPr>
                <w:sz w:val="20"/>
                <w:szCs w:val="20"/>
                <w:color w:val="auto"/>
              </w:rPr>
            </w:pPr>
            <w:r>
              <w:rPr>
                <w:rFonts w:ascii="Arial" w:cs="Arial" w:eastAsia="Arial" w:hAnsi="Arial"/>
                <w:sz w:val="18"/>
                <w:szCs w:val="18"/>
                <w:color w:val="auto"/>
              </w:rPr>
              <w:t>333-227237</w:t>
            </w:r>
          </w:p>
        </w:tc>
        <w:tc>
          <w:tcPr>
            <w:tcW w:w="1200" w:type="dxa"/>
            <w:vAlign w:val="bottom"/>
          </w:tcPr>
          <w:p>
            <w:pPr>
              <w:ind w:left="440"/>
              <w:spacing w:after="0"/>
              <w:rPr>
                <w:sz w:val="20"/>
                <w:szCs w:val="20"/>
                <w:color w:val="auto"/>
              </w:rPr>
            </w:pPr>
            <w:r>
              <w:rPr>
                <w:rFonts w:ascii="Arial" w:cs="Arial" w:eastAsia="Arial" w:hAnsi="Arial"/>
                <w:sz w:val="18"/>
                <w:szCs w:val="18"/>
                <w:color w:val="auto"/>
              </w:rPr>
              <w:t>10.4</w:t>
            </w:r>
          </w:p>
        </w:tc>
        <w:tc>
          <w:tcPr>
            <w:tcW w:w="1160" w:type="dxa"/>
            <w:vAlign w:val="bottom"/>
          </w:tcPr>
          <w:p>
            <w:pPr>
              <w:ind w:left="420"/>
              <w:spacing w:after="0"/>
              <w:rPr>
                <w:sz w:val="20"/>
                <w:szCs w:val="20"/>
                <w:color w:val="auto"/>
              </w:rPr>
            </w:pPr>
            <w:r>
              <w:rPr>
                <w:rFonts w:ascii="Arial" w:cs="Arial" w:eastAsia="Arial" w:hAnsi="Arial"/>
                <w:sz w:val="18"/>
                <w:szCs w:val="18"/>
                <w:color w:val="auto"/>
              </w:rPr>
              <w:t>9/7/2018</w:t>
            </w:r>
          </w:p>
        </w:tc>
      </w:tr>
    </w:tbl>
    <w:p>
      <w:pPr>
        <w:spacing w:after="0" w:line="549" w:lineRule="exact"/>
        <w:rPr>
          <w:sz w:val="20"/>
          <w:szCs w:val="20"/>
          <w:color w:val="auto"/>
        </w:rPr>
      </w:pPr>
    </w:p>
    <w:p>
      <w:pPr>
        <w:sectPr>
          <w:pgSz w:w="11900" w:h="16838" w:orient="portrait"/>
          <w:cols w:equalWidth="0" w:num="2">
            <w:col w:w="5380" w:space="320"/>
            <w:col w:w="5540"/>
          </w:cols>
          <w:pgMar w:left="320" w:top="337" w:right="3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3"/>
              </w:rPr>
              <w:t>10.5+</w:t>
            </w:r>
          </w:p>
        </w:tc>
        <w:tc>
          <w:tcPr>
            <w:tcW w:w="4180" w:type="dxa"/>
            <w:vAlign w:val="bottom"/>
            <w:gridSpan w:val="7"/>
          </w:tcPr>
          <w:p>
            <w:pPr>
              <w:spacing w:after="0"/>
              <w:rPr>
                <w:rFonts w:ascii="Arial" w:cs="Arial" w:eastAsia="Arial" w:hAnsi="Arial"/>
                <w:sz w:val="18"/>
                <w:szCs w:val="18"/>
                <w:color w:val="0000FF"/>
                <w:w w:val="94"/>
              </w:rPr>
            </w:pPr>
            <w:hyperlink r:id="rId283">
              <w:r>
                <w:rPr>
                  <w:rFonts w:ascii="Arial" w:cs="Arial" w:eastAsia="Arial" w:hAnsi="Arial"/>
                  <w:sz w:val="18"/>
                  <w:szCs w:val="18"/>
                  <w:color w:val="0000FF"/>
                  <w:w w:val="94"/>
                </w:rPr>
                <w:t>Form of Notice of Stock Option Grant and Stock Option</w:t>
              </w:r>
            </w:hyperlink>
          </w:p>
        </w:tc>
      </w:tr>
      <w:tr>
        <w:trPr>
          <w:trHeight w:val="20"/>
        </w:trPr>
        <w:tc>
          <w:tcPr>
            <w:tcW w:w="1140" w:type="dxa"/>
            <w:vAlign w:val="bottom"/>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80" w:type="dxa"/>
            <w:vAlign w:val="bottom"/>
            <w:gridSpan w:val="7"/>
          </w:tcPr>
          <w:p>
            <w:pPr>
              <w:spacing w:after="0" w:line="196" w:lineRule="exact"/>
              <w:rPr>
                <w:rFonts w:ascii="Arial" w:cs="Arial" w:eastAsia="Arial" w:hAnsi="Arial"/>
                <w:sz w:val="18"/>
                <w:szCs w:val="18"/>
                <w:color w:val="0000FF"/>
              </w:rPr>
            </w:pPr>
            <w:hyperlink r:id="rId283">
              <w:r>
                <w:rPr>
                  <w:rFonts w:ascii="Arial" w:cs="Arial" w:eastAsia="Arial" w:hAnsi="Arial"/>
                  <w:sz w:val="18"/>
                  <w:szCs w:val="18"/>
                  <w:color w:val="0000FF"/>
                </w:rPr>
                <w:t>Agreement under the 2015 Share Incentive 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3"/>
              </w:rPr>
              <w:t>10.6+</w:t>
            </w:r>
          </w:p>
        </w:tc>
        <w:tc>
          <w:tcPr>
            <w:tcW w:w="360" w:type="dxa"/>
            <w:vAlign w:val="bottom"/>
          </w:tcPr>
          <w:p>
            <w:pPr>
              <w:spacing w:after="0"/>
              <w:rPr>
                <w:rFonts w:ascii="Arial" w:cs="Arial" w:eastAsia="Arial" w:hAnsi="Arial"/>
                <w:sz w:val="18"/>
                <w:szCs w:val="18"/>
                <w:color w:val="0000FF"/>
                <w:w w:val="84"/>
              </w:rPr>
            </w:pPr>
            <w:hyperlink r:id="rId284">
              <w:r>
                <w:rPr>
                  <w:rFonts w:ascii="Arial" w:cs="Arial" w:eastAsia="Arial" w:hAnsi="Arial"/>
                  <w:sz w:val="18"/>
                  <w:szCs w:val="18"/>
                  <w:color w:val="0000FF"/>
                  <w:w w:val="84"/>
                </w:rPr>
                <w:t>2018</w:t>
              </w:r>
            </w:hyperlink>
          </w:p>
        </w:tc>
        <w:tc>
          <w:tcPr>
            <w:tcW w:w="3820" w:type="dxa"/>
            <w:vAlign w:val="bottom"/>
            <w:gridSpan w:val="6"/>
          </w:tcPr>
          <w:p>
            <w:pPr>
              <w:ind w:left="20"/>
              <w:spacing w:after="0"/>
              <w:rPr>
                <w:rFonts w:ascii="Arial" w:cs="Arial" w:eastAsia="Arial" w:hAnsi="Arial"/>
                <w:sz w:val="18"/>
                <w:szCs w:val="18"/>
                <w:color w:val="0000FF"/>
              </w:rPr>
            </w:pPr>
            <w:hyperlink r:id="rId284">
              <w:r>
                <w:rPr>
                  <w:rFonts w:ascii="Arial" w:cs="Arial" w:eastAsia="Arial" w:hAnsi="Arial"/>
                  <w:sz w:val="18"/>
                  <w:szCs w:val="18"/>
                  <w:color w:val="0000FF"/>
                </w:rPr>
                <w:t>Equity Incentive 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3"/>
              </w:rPr>
              <w:t>10.7+</w:t>
            </w:r>
          </w:p>
        </w:tc>
        <w:tc>
          <w:tcPr>
            <w:tcW w:w="4180" w:type="dxa"/>
            <w:vAlign w:val="bottom"/>
            <w:gridSpan w:val="7"/>
          </w:tcPr>
          <w:p>
            <w:pPr>
              <w:spacing w:after="0"/>
              <w:rPr>
                <w:rFonts w:ascii="Arial" w:cs="Arial" w:eastAsia="Arial" w:hAnsi="Arial"/>
                <w:sz w:val="18"/>
                <w:szCs w:val="18"/>
                <w:color w:val="0000FF"/>
                <w:w w:val="94"/>
              </w:rPr>
            </w:pPr>
            <w:hyperlink r:id="rId285">
              <w:r>
                <w:rPr>
                  <w:rFonts w:ascii="Arial" w:cs="Arial" w:eastAsia="Arial" w:hAnsi="Arial"/>
                  <w:sz w:val="18"/>
                  <w:szCs w:val="18"/>
                  <w:color w:val="0000FF"/>
                  <w:w w:val="94"/>
                </w:rPr>
                <w:t>Form of Notice of Stock Option Grant and Stock Option</w:t>
              </w:r>
            </w:hyperlink>
          </w:p>
        </w:tc>
      </w:tr>
      <w:tr>
        <w:trPr>
          <w:trHeight w:val="20"/>
        </w:trPr>
        <w:tc>
          <w:tcPr>
            <w:tcW w:w="1140" w:type="dxa"/>
            <w:vAlign w:val="bottom"/>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80" w:type="dxa"/>
            <w:vAlign w:val="bottom"/>
            <w:gridSpan w:val="7"/>
          </w:tcPr>
          <w:p>
            <w:pPr>
              <w:spacing w:after="0" w:line="196" w:lineRule="exact"/>
              <w:rPr>
                <w:rFonts w:ascii="Arial" w:cs="Arial" w:eastAsia="Arial" w:hAnsi="Arial"/>
                <w:sz w:val="18"/>
                <w:szCs w:val="18"/>
                <w:color w:val="0000FF"/>
              </w:rPr>
            </w:pPr>
            <w:hyperlink r:id="rId285">
              <w:r>
                <w:rPr>
                  <w:rFonts w:ascii="Arial" w:cs="Arial" w:eastAsia="Arial" w:hAnsi="Arial"/>
                  <w:sz w:val="18"/>
                  <w:szCs w:val="18"/>
                  <w:color w:val="0000FF"/>
                </w:rPr>
                <w:t>Agreement under the 2018 Equity Incentive 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3"/>
              </w:rPr>
              <w:t>10.8+</w:t>
            </w:r>
          </w:p>
        </w:tc>
        <w:tc>
          <w:tcPr>
            <w:tcW w:w="4180" w:type="dxa"/>
            <w:vAlign w:val="bottom"/>
            <w:gridSpan w:val="7"/>
          </w:tcPr>
          <w:p>
            <w:pPr>
              <w:spacing w:after="0"/>
              <w:rPr>
                <w:rFonts w:ascii="Arial" w:cs="Arial" w:eastAsia="Arial" w:hAnsi="Arial"/>
                <w:sz w:val="18"/>
                <w:szCs w:val="18"/>
                <w:color w:val="0000FF"/>
                <w:w w:val="91"/>
              </w:rPr>
            </w:pPr>
            <w:hyperlink r:id="rId286">
              <w:r>
                <w:rPr>
                  <w:rFonts w:ascii="Arial" w:cs="Arial" w:eastAsia="Arial" w:hAnsi="Arial"/>
                  <w:sz w:val="18"/>
                  <w:szCs w:val="18"/>
                  <w:color w:val="0000FF"/>
                  <w:w w:val="91"/>
                </w:rPr>
                <w:t>Form of Notice of Restricted Stock Unit Grant and Terms</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80" w:type="dxa"/>
            <w:vAlign w:val="bottom"/>
            <w:gridSpan w:val="7"/>
          </w:tcPr>
          <w:p>
            <w:pPr>
              <w:spacing w:after="0" w:line="196" w:lineRule="exact"/>
              <w:rPr>
                <w:rFonts w:ascii="Arial" w:cs="Arial" w:eastAsia="Arial" w:hAnsi="Arial"/>
                <w:sz w:val="18"/>
                <w:szCs w:val="18"/>
                <w:color w:val="0000FF"/>
                <w:w w:val="93"/>
              </w:rPr>
            </w:pPr>
            <w:hyperlink r:id="rId286">
              <w:r>
                <w:rPr>
                  <w:rFonts w:ascii="Arial" w:cs="Arial" w:eastAsia="Arial" w:hAnsi="Arial"/>
                  <w:sz w:val="18"/>
                  <w:szCs w:val="18"/>
                  <w:color w:val="0000FF"/>
                  <w:w w:val="93"/>
                </w:rPr>
                <w:t>and Conditions of Restricted Stock Unit Grant under the</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line="196" w:lineRule="exact"/>
              <w:rPr>
                <w:rFonts w:ascii="Arial" w:cs="Arial" w:eastAsia="Arial" w:hAnsi="Arial"/>
                <w:sz w:val="18"/>
                <w:szCs w:val="18"/>
                <w:color w:val="0000FF"/>
                <w:w w:val="84"/>
              </w:rPr>
            </w:pPr>
            <w:hyperlink r:id="rId286">
              <w:r>
                <w:rPr>
                  <w:rFonts w:ascii="Arial" w:cs="Arial" w:eastAsia="Arial" w:hAnsi="Arial"/>
                  <w:sz w:val="18"/>
                  <w:szCs w:val="18"/>
                  <w:color w:val="0000FF"/>
                  <w:w w:val="84"/>
                </w:rPr>
                <w:t>2018</w:t>
              </w:r>
            </w:hyperlink>
          </w:p>
        </w:tc>
        <w:tc>
          <w:tcPr>
            <w:tcW w:w="3820" w:type="dxa"/>
            <w:vAlign w:val="bottom"/>
            <w:gridSpan w:val="6"/>
          </w:tcPr>
          <w:p>
            <w:pPr>
              <w:ind w:left="20"/>
              <w:spacing w:after="0" w:line="196" w:lineRule="exact"/>
              <w:rPr>
                <w:rFonts w:ascii="Arial" w:cs="Arial" w:eastAsia="Arial" w:hAnsi="Arial"/>
                <w:sz w:val="18"/>
                <w:szCs w:val="18"/>
                <w:color w:val="0000FF"/>
              </w:rPr>
            </w:pPr>
            <w:hyperlink r:id="rId286">
              <w:r>
                <w:rPr>
                  <w:rFonts w:ascii="Arial" w:cs="Arial" w:eastAsia="Arial" w:hAnsi="Arial"/>
                  <w:sz w:val="18"/>
                  <w:szCs w:val="18"/>
                  <w:color w:val="0000FF"/>
                </w:rPr>
                <w:t>Equity Incentive 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r>
      <w:tr>
        <w:trPr>
          <w:trHeight w:val="358"/>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3"/>
              </w:rPr>
              <w:t>10.9+</w:t>
            </w:r>
          </w:p>
        </w:tc>
        <w:tc>
          <w:tcPr>
            <w:tcW w:w="360" w:type="dxa"/>
            <w:vAlign w:val="bottom"/>
          </w:tcPr>
          <w:p>
            <w:pPr>
              <w:spacing w:after="0"/>
              <w:rPr>
                <w:rFonts w:ascii="Arial" w:cs="Arial" w:eastAsia="Arial" w:hAnsi="Arial"/>
                <w:sz w:val="18"/>
                <w:szCs w:val="18"/>
                <w:color w:val="0000FF"/>
                <w:w w:val="84"/>
              </w:rPr>
            </w:pPr>
            <w:hyperlink r:id="rId287">
              <w:r>
                <w:rPr>
                  <w:rFonts w:ascii="Arial" w:cs="Arial" w:eastAsia="Arial" w:hAnsi="Arial"/>
                  <w:sz w:val="18"/>
                  <w:szCs w:val="18"/>
                  <w:color w:val="0000FF"/>
                  <w:w w:val="84"/>
                </w:rPr>
                <w:t>2018</w:t>
              </w:r>
            </w:hyperlink>
          </w:p>
        </w:tc>
        <w:tc>
          <w:tcPr>
            <w:tcW w:w="3820" w:type="dxa"/>
            <w:vAlign w:val="bottom"/>
            <w:gridSpan w:val="6"/>
          </w:tcPr>
          <w:p>
            <w:pPr>
              <w:ind w:left="20"/>
              <w:spacing w:after="0"/>
              <w:rPr>
                <w:rFonts w:ascii="Arial" w:cs="Arial" w:eastAsia="Arial" w:hAnsi="Arial"/>
                <w:sz w:val="18"/>
                <w:szCs w:val="18"/>
                <w:color w:val="0000FF"/>
              </w:rPr>
            </w:pPr>
            <w:hyperlink r:id="rId287">
              <w:r>
                <w:rPr>
                  <w:rFonts w:ascii="Arial" w:cs="Arial" w:eastAsia="Arial" w:hAnsi="Arial"/>
                  <w:sz w:val="18"/>
                  <w:szCs w:val="18"/>
                  <w:color w:val="0000FF"/>
                </w:rPr>
                <w:t>Employee Stock Purchase 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160" w:type="dxa"/>
            <w:vAlign w:val="bottom"/>
          </w:tcPr>
          <w:p>
            <w:pPr>
              <w:ind w:left="420"/>
              <w:spacing w:after="0"/>
              <w:rPr>
                <w:sz w:val="20"/>
                <w:szCs w:val="20"/>
                <w:color w:val="auto"/>
              </w:rPr>
            </w:pPr>
            <w:r>
              <w:rPr>
                <w:rFonts w:ascii="Arial" w:cs="Arial" w:eastAsia="Arial" w:hAnsi="Arial"/>
                <w:sz w:val="18"/>
                <w:szCs w:val="18"/>
                <w:color w:val="auto"/>
              </w:rPr>
              <w:t>9/7/2018</w:t>
            </w:r>
          </w:p>
        </w:tc>
      </w:tr>
      <w:tr>
        <w:trPr>
          <w:trHeight w:val="594"/>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10.6</w:t>
            </w:r>
          </w:p>
        </w:tc>
        <w:tc>
          <w:tcPr>
            <w:tcW w:w="1160" w:type="dxa"/>
            <w:vAlign w:val="bottom"/>
          </w:tcPr>
          <w:p>
            <w:pPr>
              <w:ind w:left="420"/>
              <w:spacing w:after="0"/>
              <w:rPr>
                <w:sz w:val="20"/>
                <w:szCs w:val="20"/>
                <w:color w:val="auto"/>
              </w:rPr>
            </w:pPr>
            <w:r>
              <w:rPr>
                <w:rFonts w:ascii="Arial" w:cs="Arial" w:eastAsia="Arial" w:hAnsi="Arial"/>
                <w:sz w:val="18"/>
                <w:szCs w:val="18"/>
                <w:color w:val="auto"/>
                <w:w w:val="89"/>
              </w:rPr>
              <w:t>9/24/2018</w:t>
            </w: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10.7</w:t>
            </w:r>
          </w:p>
        </w:tc>
        <w:tc>
          <w:tcPr>
            <w:tcW w:w="1160" w:type="dxa"/>
            <w:vAlign w:val="bottom"/>
          </w:tcPr>
          <w:p>
            <w:pPr>
              <w:ind w:left="420"/>
              <w:spacing w:after="0"/>
              <w:rPr>
                <w:sz w:val="20"/>
                <w:szCs w:val="20"/>
                <w:color w:val="auto"/>
              </w:rPr>
            </w:pPr>
            <w:r>
              <w:rPr>
                <w:rFonts w:ascii="Arial" w:cs="Arial" w:eastAsia="Arial" w:hAnsi="Arial"/>
                <w:sz w:val="18"/>
                <w:szCs w:val="18"/>
                <w:color w:val="auto"/>
                <w:w w:val="89"/>
              </w:rPr>
              <w:t>9/24/2018</w:t>
            </w:r>
          </w:p>
        </w:tc>
      </w:tr>
      <w:tr>
        <w:trPr>
          <w:trHeight w:val="594"/>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10.8</w:t>
            </w:r>
          </w:p>
        </w:tc>
        <w:tc>
          <w:tcPr>
            <w:tcW w:w="1160" w:type="dxa"/>
            <w:vAlign w:val="bottom"/>
          </w:tcPr>
          <w:p>
            <w:pPr>
              <w:ind w:left="420"/>
              <w:spacing w:after="0"/>
              <w:rPr>
                <w:sz w:val="20"/>
                <w:szCs w:val="20"/>
                <w:color w:val="auto"/>
              </w:rPr>
            </w:pPr>
            <w:r>
              <w:rPr>
                <w:rFonts w:ascii="Arial" w:cs="Arial" w:eastAsia="Arial" w:hAnsi="Arial"/>
                <w:sz w:val="18"/>
                <w:szCs w:val="18"/>
                <w:color w:val="auto"/>
                <w:w w:val="89"/>
              </w:rPr>
              <w:t>9/24/2018</w:t>
            </w:r>
          </w:p>
        </w:tc>
      </w:tr>
      <w:tr>
        <w:trPr>
          <w:trHeight w:val="810"/>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10.9</w:t>
            </w:r>
          </w:p>
        </w:tc>
        <w:tc>
          <w:tcPr>
            <w:tcW w:w="1160" w:type="dxa"/>
            <w:vAlign w:val="bottom"/>
          </w:tcPr>
          <w:p>
            <w:pPr>
              <w:ind w:left="420"/>
              <w:spacing w:after="0"/>
              <w:rPr>
                <w:sz w:val="20"/>
                <w:szCs w:val="20"/>
                <w:color w:val="auto"/>
              </w:rPr>
            </w:pPr>
            <w:r>
              <w:rPr>
                <w:rFonts w:ascii="Arial" w:cs="Arial" w:eastAsia="Arial" w:hAnsi="Arial"/>
                <w:sz w:val="18"/>
                <w:szCs w:val="18"/>
                <w:color w:val="auto"/>
                <w:w w:val="89"/>
              </w:rPr>
              <w:t>9/24/2018</w:t>
            </w:r>
          </w:p>
        </w:tc>
      </w:tr>
    </w:tbl>
    <w:p>
      <w:pPr>
        <w:spacing w:after="0" w:line="200" w:lineRule="exact"/>
        <w:rPr>
          <w:sz w:val="20"/>
          <w:szCs w:val="20"/>
          <w:color w:val="auto"/>
        </w:rPr>
      </w:pPr>
    </w:p>
    <w:p>
      <w:pPr>
        <w:sectPr>
          <w:pgSz w:w="11900" w:h="16838" w:orient="portrait"/>
          <w:cols w:equalWidth="0" w:num="2">
            <w:col w:w="5440" w:space="260"/>
            <w:col w:w="5540"/>
          </w:cols>
          <w:pgMar w:left="320" w:top="337" w:right="339" w:bottom="1440" w:gutter="0" w:footer="0" w:header="0"/>
          <w:type w:val="continuous"/>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86"/>
        </w:trPr>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4"/>
          </w:tcPr>
          <w:p>
            <w:pPr>
              <w:ind w:left="1060"/>
              <w:spacing w:after="0"/>
              <w:rPr>
                <w:sz w:val="20"/>
                <w:szCs w:val="20"/>
                <w:color w:val="auto"/>
              </w:rPr>
            </w:pPr>
            <w:r>
              <w:rPr>
                <w:rFonts w:ascii="Arial" w:cs="Arial" w:eastAsia="Arial" w:hAnsi="Arial"/>
                <w:sz w:val="14"/>
                <w:szCs w:val="14"/>
                <w:b w:val="1"/>
                <w:bCs w:val="1"/>
                <w:color w:val="auto"/>
              </w:rPr>
              <w:t>Description</w:t>
            </w:r>
          </w:p>
        </w:tc>
      </w:tr>
      <w:tr>
        <w:trPr>
          <w:trHeight w:val="323"/>
        </w:trPr>
        <w:tc>
          <w:tcPr>
            <w:tcW w:w="1100" w:type="dxa"/>
            <w:vAlign w:val="bottom"/>
          </w:tcPr>
          <w:p>
            <w:pPr>
              <w:ind w:left="1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3540" w:type="dxa"/>
            <w:vAlign w:val="bottom"/>
            <w:tcBorders>
              <w:bottom w:val="single" w:sz="8" w:color="0000FF"/>
            </w:tcBorders>
            <w:gridSpan w:val="11"/>
          </w:tcPr>
          <w:p>
            <w:pPr>
              <w:spacing w:after="0"/>
              <w:rPr>
                <w:rFonts w:ascii="Arial" w:cs="Arial" w:eastAsia="Arial" w:hAnsi="Arial"/>
                <w:sz w:val="18"/>
                <w:szCs w:val="18"/>
                <w:color w:val="0000FF"/>
                <w:w w:val="91"/>
              </w:rPr>
            </w:pPr>
            <w:hyperlink r:id="rId289">
              <w:r>
                <w:rPr>
                  <w:rFonts w:ascii="Arial" w:cs="Arial" w:eastAsia="Arial" w:hAnsi="Arial"/>
                  <w:sz w:val="18"/>
                  <w:szCs w:val="18"/>
                  <w:color w:val="0000FF"/>
                  <w:w w:val="91"/>
                </w:rPr>
                <w:t>Form of Subscription Agreement under the 2018</w:t>
              </w:r>
            </w:hyperlink>
          </w:p>
        </w:tc>
        <w:tc>
          <w:tcPr>
            <w:tcW w:w="70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gridSpan w:val="20"/>
          </w:tcPr>
          <w:p>
            <w:pPr>
              <w:spacing w:after="0" w:line="196" w:lineRule="exact"/>
              <w:rPr>
                <w:rFonts w:ascii="Arial" w:cs="Arial" w:eastAsia="Arial" w:hAnsi="Arial"/>
                <w:sz w:val="18"/>
                <w:szCs w:val="18"/>
                <w:color w:val="0000FF"/>
              </w:rPr>
            </w:pPr>
            <w:hyperlink r:id="rId289">
              <w:r>
                <w:rPr>
                  <w:rFonts w:ascii="Arial" w:cs="Arial" w:eastAsia="Arial" w:hAnsi="Arial"/>
                  <w:sz w:val="18"/>
                  <w:szCs w:val="18"/>
                  <w:color w:val="0000FF"/>
                </w:rPr>
                <w:t>Employee Stock Purchase Plan</w:t>
              </w:r>
            </w:hyperlink>
          </w:p>
        </w:tc>
      </w:tr>
      <w:tr>
        <w:trPr>
          <w:trHeight w:val="20"/>
        </w:trPr>
        <w:tc>
          <w:tcPr>
            <w:tcW w:w="1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00" w:type="dxa"/>
            <w:vAlign w:val="bottom"/>
          </w:tcPr>
          <w:p>
            <w:pPr>
              <w:ind w:left="1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3680" w:type="dxa"/>
            <w:vAlign w:val="bottom"/>
            <w:tcBorders>
              <w:bottom w:val="single" w:sz="8" w:color="0000FF"/>
            </w:tcBorders>
            <w:gridSpan w:val="12"/>
          </w:tcPr>
          <w:p>
            <w:pPr>
              <w:spacing w:after="0"/>
              <w:rPr>
                <w:rFonts w:ascii="Arial" w:cs="Arial" w:eastAsia="Arial" w:hAnsi="Arial"/>
                <w:sz w:val="18"/>
                <w:szCs w:val="18"/>
                <w:color w:val="0000FF"/>
                <w:w w:val="92"/>
              </w:rPr>
            </w:pPr>
            <w:hyperlink r:id="rId290">
              <w:r>
                <w:rPr>
                  <w:rFonts w:ascii="Arial" w:cs="Arial" w:eastAsia="Arial" w:hAnsi="Arial"/>
                  <w:sz w:val="18"/>
                  <w:szCs w:val="18"/>
                  <w:color w:val="0000FF"/>
                  <w:w w:val="92"/>
                </w:rPr>
                <w:t>Executive Employment Agreement, effective as of</w:t>
              </w:r>
            </w:hyperlink>
          </w:p>
        </w:tc>
        <w:tc>
          <w:tcPr>
            <w:tcW w:w="56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290">
              <w:r>
                <w:rPr>
                  <w:rFonts w:ascii="Arial" w:cs="Arial" w:eastAsia="Arial" w:hAnsi="Arial"/>
                  <w:sz w:val="18"/>
                  <w:szCs w:val="18"/>
                  <w:color w:val="0000FF"/>
                  <w:w w:val="90"/>
                </w:rPr>
                <w:t>September 6, 2018, between the Registrant and Victor</w:t>
              </w:r>
            </w:hyperlink>
          </w:p>
        </w:tc>
        <w:tc>
          <w:tcPr>
            <w:tcW w:w="30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290">
              <w:r>
                <w:rPr>
                  <w:rFonts w:ascii="Arial" w:cs="Arial" w:eastAsia="Arial" w:hAnsi="Arial"/>
                  <w:sz w:val="18"/>
                  <w:szCs w:val="18"/>
                  <w:color w:val="0000FF"/>
                  <w:w w:val="88"/>
                </w:rPr>
                <w:t>Perlroth</w:t>
              </w:r>
            </w:hyperlink>
          </w:p>
        </w:tc>
        <w:tc>
          <w:tcPr>
            <w:tcW w:w="20" w:type="dxa"/>
            <w:vAlign w:val="bottom"/>
            <w:tcBorders>
              <w:bottom w:val="single" w:sz="8" w:color="0000EE"/>
            </w:tcBorders>
          </w:tcPr>
          <w:p>
            <w:pPr>
              <w:spacing w:after="0"/>
              <w:rPr>
                <w:sz w:val="17"/>
                <w:szCs w:val="17"/>
                <w:color w:val="auto"/>
              </w:rPr>
            </w:pPr>
          </w:p>
        </w:tc>
        <w:tc>
          <w:tcPr>
            <w:tcW w:w="3640" w:type="dxa"/>
            <w:vAlign w:val="bottom"/>
            <w:gridSpan w:val="15"/>
          </w:tcPr>
          <w:p>
            <w:pPr>
              <w:spacing w:after="0"/>
              <w:rPr>
                <w:sz w:val="17"/>
                <w:szCs w:val="17"/>
                <w:color w:val="auto"/>
              </w:rPr>
            </w:pPr>
          </w:p>
        </w:tc>
      </w:tr>
      <w:tr>
        <w:trPr>
          <w:trHeight w:val="358"/>
        </w:trPr>
        <w:tc>
          <w:tcPr>
            <w:tcW w:w="1100" w:type="dxa"/>
            <w:vAlign w:val="bottom"/>
          </w:tcPr>
          <w:p>
            <w:pPr>
              <w:ind w:left="1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4220" w:type="dxa"/>
            <w:vAlign w:val="bottom"/>
            <w:tcBorders>
              <w:bottom w:val="single" w:sz="8" w:color="0000FF"/>
            </w:tcBorders>
            <w:gridSpan w:val="19"/>
          </w:tcPr>
          <w:p>
            <w:pPr>
              <w:spacing w:after="0"/>
              <w:rPr>
                <w:rFonts w:ascii="Arial" w:cs="Arial" w:eastAsia="Arial" w:hAnsi="Arial"/>
                <w:sz w:val="18"/>
                <w:szCs w:val="18"/>
                <w:color w:val="0000FF"/>
                <w:w w:val="91"/>
              </w:rPr>
            </w:pPr>
            <w:hyperlink r:id="rId291">
              <w:r>
                <w:rPr>
                  <w:rFonts w:ascii="Arial" w:cs="Arial" w:eastAsia="Arial" w:hAnsi="Arial"/>
                  <w:sz w:val="18"/>
                  <w:szCs w:val="18"/>
                  <w:color w:val="0000FF"/>
                  <w:w w:val="91"/>
                </w:rPr>
                <w:t>Amended Executive Employment Agreement, effective as</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291">
              <w:r>
                <w:rPr>
                  <w:rFonts w:ascii="Arial" w:cs="Arial" w:eastAsia="Arial" w:hAnsi="Arial"/>
                  <w:sz w:val="18"/>
                  <w:szCs w:val="18"/>
                  <w:color w:val="0000FF"/>
                  <w:w w:val="89"/>
                </w:rPr>
                <w:t>of September 6, 2018, between the Registrant and John</w:t>
              </w:r>
            </w:hyperlink>
          </w:p>
        </w:tc>
        <w:tc>
          <w:tcPr>
            <w:tcW w:w="22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gridSpan w:val="20"/>
          </w:tcPr>
          <w:p>
            <w:pPr>
              <w:spacing w:after="0" w:line="196" w:lineRule="exact"/>
              <w:rPr>
                <w:rFonts w:ascii="Arial" w:cs="Arial" w:eastAsia="Arial" w:hAnsi="Arial"/>
                <w:sz w:val="18"/>
                <w:szCs w:val="18"/>
                <w:color w:val="0000FF"/>
              </w:rPr>
            </w:pPr>
            <w:hyperlink r:id="rId291">
              <w:r>
                <w:rPr>
                  <w:rFonts w:ascii="Arial" w:cs="Arial" w:eastAsia="Arial" w:hAnsi="Arial"/>
                  <w:sz w:val="18"/>
                  <w:szCs w:val="18"/>
                  <w:color w:val="0000FF"/>
                </w:rPr>
                <w:t>Borgeson</w:t>
              </w:r>
            </w:hyperlink>
          </w:p>
        </w:tc>
      </w:tr>
      <w:tr>
        <w:trPr>
          <w:trHeight w:val="20"/>
        </w:trPr>
        <w:tc>
          <w:tcPr>
            <w:tcW w:w="1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3"/>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58"/>
        </w:trPr>
        <w:tc>
          <w:tcPr>
            <w:tcW w:w="1100" w:type="dxa"/>
            <w:vAlign w:val="bottom"/>
          </w:tcPr>
          <w:p>
            <w:pPr>
              <w:ind w:left="12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3680" w:type="dxa"/>
            <w:vAlign w:val="bottom"/>
            <w:tcBorders>
              <w:bottom w:val="single" w:sz="8" w:color="0000FF"/>
            </w:tcBorders>
            <w:gridSpan w:val="12"/>
          </w:tcPr>
          <w:p>
            <w:pPr>
              <w:spacing w:after="0"/>
              <w:rPr>
                <w:rFonts w:ascii="Arial" w:cs="Arial" w:eastAsia="Arial" w:hAnsi="Arial"/>
                <w:sz w:val="18"/>
                <w:szCs w:val="18"/>
                <w:color w:val="0000FF"/>
                <w:w w:val="92"/>
              </w:rPr>
            </w:pPr>
            <w:hyperlink r:id="rId292">
              <w:r>
                <w:rPr>
                  <w:rFonts w:ascii="Arial" w:cs="Arial" w:eastAsia="Arial" w:hAnsi="Arial"/>
                  <w:sz w:val="18"/>
                  <w:szCs w:val="18"/>
                  <w:color w:val="0000FF"/>
                  <w:w w:val="92"/>
                </w:rPr>
                <w:t>Executive Employment Agreement, effective as of</w:t>
              </w:r>
            </w:hyperlink>
          </w:p>
        </w:tc>
        <w:tc>
          <w:tcPr>
            <w:tcW w:w="56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FF"/>
            </w:tcBorders>
            <w:gridSpan w:val="14"/>
          </w:tcPr>
          <w:p>
            <w:pPr>
              <w:spacing w:after="0" w:line="196" w:lineRule="exact"/>
              <w:rPr>
                <w:rFonts w:ascii="Arial" w:cs="Arial" w:eastAsia="Arial" w:hAnsi="Arial"/>
                <w:sz w:val="18"/>
                <w:szCs w:val="18"/>
                <w:color w:val="0000FF"/>
                <w:w w:val="88"/>
              </w:rPr>
            </w:pPr>
            <w:hyperlink r:id="rId292">
              <w:r>
                <w:rPr>
                  <w:rFonts w:ascii="Arial" w:cs="Arial" w:eastAsia="Arial" w:hAnsi="Arial"/>
                  <w:sz w:val="18"/>
                  <w:szCs w:val="18"/>
                  <w:color w:val="0000FF"/>
                  <w:w w:val="88"/>
                </w:rPr>
                <w:t>September 6, 2018, between the Registrant and Jason</w:t>
              </w:r>
            </w:hyperlink>
          </w:p>
        </w:tc>
        <w:tc>
          <w:tcPr>
            <w:tcW w:w="36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gridSpan w:val="20"/>
          </w:tcPr>
          <w:p>
            <w:pPr>
              <w:spacing w:after="0" w:line="196" w:lineRule="exact"/>
              <w:rPr>
                <w:rFonts w:ascii="Arial" w:cs="Arial" w:eastAsia="Arial" w:hAnsi="Arial"/>
                <w:sz w:val="18"/>
                <w:szCs w:val="18"/>
                <w:color w:val="0000FF"/>
              </w:rPr>
            </w:pPr>
            <w:hyperlink r:id="rId292">
              <w:r>
                <w:rPr>
                  <w:rFonts w:ascii="Arial" w:cs="Arial" w:eastAsia="Arial" w:hAnsi="Arial"/>
                  <w:sz w:val="18"/>
                  <w:szCs w:val="18"/>
                  <w:color w:val="0000FF"/>
                </w:rPr>
                <w:t>Ehrlich</w:t>
              </w:r>
            </w:hyperlink>
          </w:p>
        </w:tc>
      </w:tr>
      <w:tr>
        <w:trPr>
          <w:trHeight w:val="20"/>
        </w:trPr>
        <w:tc>
          <w:tcPr>
            <w:tcW w:w="1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58"/>
        </w:trPr>
        <w:tc>
          <w:tcPr>
            <w:tcW w:w="1100" w:type="dxa"/>
            <w:vAlign w:val="bottom"/>
          </w:tcPr>
          <w:p>
            <w:pPr>
              <w:ind w:left="12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4220" w:type="dxa"/>
            <w:vAlign w:val="bottom"/>
            <w:tcBorders>
              <w:bottom w:val="single" w:sz="8" w:color="0000FF"/>
            </w:tcBorders>
            <w:gridSpan w:val="19"/>
          </w:tcPr>
          <w:p>
            <w:pPr>
              <w:spacing w:after="0"/>
              <w:rPr>
                <w:rFonts w:ascii="Arial" w:cs="Arial" w:eastAsia="Arial" w:hAnsi="Arial"/>
                <w:sz w:val="18"/>
                <w:szCs w:val="18"/>
                <w:color w:val="0000FF"/>
                <w:w w:val="91"/>
              </w:rPr>
            </w:pPr>
            <w:hyperlink r:id="rId293">
              <w:r>
                <w:rPr>
                  <w:rFonts w:ascii="Arial" w:cs="Arial" w:eastAsia="Arial" w:hAnsi="Arial"/>
                  <w:sz w:val="18"/>
                  <w:szCs w:val="18"/>
                  <w:color w:val="0000FF"/>
                  <w:w w:val="91"/>
                </w:rPr>
                <w:t>Amended Executive Employment Agreement, effective as</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293">
              <w:r>
                <w:rPr>
                  <w:rFonts w:ascii="Arial" w:cs="Arial" w:eastAsia="Arial" w:hAnsi="Arial"/>
                  <w:sz w:val="18"/>
                  <w:szCs w:val="18"/>
                  <w:color w:val="0000FF"/>
                  <w:w w:val="89"/>
                </w:rPr>
                <w:t>of September 6, 2018, between the Registrant and Hong</w:t>
              </w:r>
            </w:hyperlink>
          </w:p>
        </w:tc>
        <w:tc>
          <w:tcPr>
            <w:tcW w:w="16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93">
              <w:r>
                <w:rPr>
                  <w:rFonts w:ascii="Arial" w:cs="Arial" w:eastAsia="Arial" w:hAnsi="Arial"/>
                  <w:sz w:val="18"/>
                  <w:szCs w:val="18"/>
                  <w:color w:val="0000FF"/>
                  <w:w w:val="90"/>
                </w:rPr>
                <w:t>Liang</w:t>
              </w:r>
            </w:hyperlink>
          </w:p>
        </w:tc>
        <w:tc>
          <w:tcPr>
            <w:tcW w:w="20" w:type="dxa"/>
            <w:vAlign w:val="bottom"/>
            <w:tcBorders>
              <w:bottom w:val="single" w:sz="8" w:color="0000EE"/>
            </w:tcBorders>
          </w:tcPr>
          <w:p>
            <w:pPr>
              <w:spacing w:after="0"/>
              <w:rPr>
                <w:sz w:val="17"/>
                <w:szCs w:val="17"/>
                <w:color w:val="auto"/>
              </w:rPr>
            </w:pPr>
          </w:p>
        </w:tc>
        <w:tc>
          <w:tcPr>
            <w:tcW w:w="3800" w:type="dxa"/>
            <w:vAlign w:val="bottom"/>
            <w:gridSpan w:val="18"/>
          </w:tcPr>
          <w:p>
            <w:pPr>
              <w:spacing w:after="0"/>
              <w:rPr>
                <w:sz w:val="17"/>
                <w:szCs w:val="17"/>
                <w:color w:val="auto"/>
              </w:rPr>
            </w:pPr>
          </w:p>
        </w:tc>
      </w:tr>
      <w:tr>
        <w:trPr>
          <w:trHeight w:val="358"/>
        </w:trPr>
        <w:tc>
          <w:tcPr>
            <w:tcW w:w="1100" w:type="dxa"/>
            <w:vAlign w:val="bottom"/>
          </w:tcPr>
          <w:p>
            <w:pPr>
              <w:ind w:left="12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2880" w:type="dxa"/>
            <w:vAlign w:val="bottom"/>
            <w:tcBorders>
              <w:bottom w:val="single" w:sz="8" w:color="0000FF"/>
            </w:tcBorders>
            <w:gridSpan w:val="10"/>
          </w:tcPr>
          <w:p>
            <w:pPr>
              <w:spacing w:after="0"/>
              <w:rPr>
                <w:rFonts w:ascii="Arial" w:cs="Arial" w:eastAsia="Arial" w:hAnsi="Arial"/>
                <w:sz w:val="18"/>
                <w:szCs w:val="18"/>
                <w:color w:val="0000FF"/>
                <w:w w:val="90"/>
              </w:rPr>
            </w:pPr>
            <w:hyperlink r:id="rId294">
              <w:r>
                <w:rPr>
                  <w:rFonts w:ascii="Arial" w:cs="Arial" w:eastAsia="Arial" w:hAnsi="Arial"/>
                  <w:sz w:val="18"/>
                  <w:szCs w:val="18"/>
                  <w:color w:val="0000FF"/>
                  <w:w w:val="90"/>
                </w:rPr>
                <w:t>Executive Incentive Compensation Plan</w:t>
              </w:r>
            </w:hyperlink>
          </w:p>
        </w:tc>
        <w:tc>
          <w:tcPr>
            <w:tcW w:w="1360" w:type="dxa"/>
            <w:vAlign w:val="bottom"/>
            <w:gridSpan w:val="10"/>
          </w:tcPr>
          <w:p>
            <w:pPr>
              <w:spacing w:after="0"/>
              <w:rPr>
                <w:sz w:val="24"/>
                <w:szCs w:val="24"/>
                <w:color w:val="auto"/>
              </w:rPr>
            </w:pPr>
          </w:p>
        </w:tc>
      </w:tr>
      <w:tr>
        <w:trPr>
          <w:trHeight w:val="371"/>
        </w:trPr>
        <w:tc>
          <w:tcPr>
            <w:tcW w:w="1100" w:type="dxa"/>
            <w:vAlign w:val="bottom"/>
          </w:tcPr>
          <w:p>
            <w:pPr>
              <w:ind w:left="12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4240" w:type="dxa"/>
            <w:vAlign w:val="bottom"/>
            <w:gridSpan w:val="20"/>
          </w:tcPr>
          <w:p>
            <w:pPr>
              <w:spacing w:after="0"/>
              <w:rPr>
                <w:rFonts w:ascii="Arial" w:cs="Arial" w:eastAsia="Arial" w:hAnsi="Arial"/>
                <w:sz w:val="18"/>
                <w:szCs w:val="18"/>
                <w:color w:val="0000FF"/>
              </w:rPr>
            </w:pPr>
            <w:hyperlink r:id="rId295">
              <w:r>
                <w:rPr>
                  <w:rFonts w:ascii="Arial" w:cs="Arial" w:eastAsia="Arial" w:hAnsi="Arial"/>
                  <w:sz w:val="18"/>
                  <w:szCs w:val="18"/>
                  <w:color w:val="0000FF"/>
                </w:rPr>
                <w:t>Outside Director Compensation Policy</w:t>
              </w:r>
            </w:hyperlink>
          </w:p>
        </w:tc>
      </w:tr>
      <w:tr>
        <w:trPr>
          <w:trHeight w:val="20"/>
        </w:trPr>
        <w:tc>
          <w:tcPr>
            <w:tcW w:w="1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72"/>
        </w:trPr>
        <w:tc>
          <w:tcPr>
            <w:tcW w:w="1100" w:type="dxa"/>
            <w:vAlign w:val="bottom"/>
          </w:tcPr>
          <w:p>
            <w:pPr>
              <w:ind w:left="12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3760" w:type="dxa"/>
            <w:vAlign w:val="bottom"/>
            <w:tcBorders>
              <w:bottom w:val="single" w:sz="8" w:color="0000FF"/>
            </w:tcBorders>
            <w:gridSpan w:val="13"/>
          </w:tcPr>
          <w:p>
            <w:pPr>
              <w:spacing w:after="0"/>
              <w:rPr>
                <w:rFonts w:ascii="Arial" w:cs="Arial" w:eastAsia="Arial" w:hAnsi="Arial"/>
                <w:sz w:val="18"/>
                <w:szCs w:val="18"/>
                <w:color w:val="0000FF"/>
                <w:w w:val="90"/>
              </w:rPr>
            </w:pPr>
            <w:hyperlink r:id="rId296">
              <w:r>
                <w:rPr>
                  <w:rFonts w:ascii="Arial" w:cs="Arial" w:eastAsia="Arial" w:hAnsi="Arial"/>
                  <w:sz w:val="18"/>
                  <w:szCs w:val="18"/>
                  <w:color w:val="0000FF"/>
                  <w:w w:val="90"/>
                </w:rPr>
                <w:t>Funding Agreement, dated as of December 1, 2019,</w:t>
              </w:r>
            </w:hyperlink>
          </w:p>
        </w:tc>
        <w:tc>
          <w:tcPr>
            <w:tcW w:w="480" w:type="dxa"/>
            <w:vAlign w:val="bottom"/>
            <w:gridSpan w:val="7"/>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96">
              <w:r>
                <w:rPr>
                  <w:rFonts w:ascii="Arial" w:cs="Arial" w:eastAsia="Arial" w:hAnsi="Arial"/>
                  <w:sz w:val="18"/>
                  <w:szCs w:val="18"/>
                  <w:color w:val="0000FF"/>
                  <w:w w:val="91"/>
                </w:rPr>
                <w:t>between Kodiak Sciences Inc., Kodiak Sciences GmbH</w:t>
              </w:r>
            </w:hyperlink>
          </w:p>
        </w:tc>
        <w:tc>
          <w:tcPr>
            <w:tcW w:w="20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96">
              <w:r>
                <w:rPr>
                  <w:rFonts w:ascii="Arial" w:cs="Arial" w:eastAsia="Arial" w:hAnsi="Arial"/>
                  <w:sz w:val="18"/>
                  <w:szCs w:val="18"/>
                  <w:color w:val="0000FF"/>
                  <w:w w:val="91"/>
                </w:rPr>
                <w:t>and Baker Bros. Advisors, LP</w:t>
              </w:r>
            </w:hyperlink>
          </w:p>
        </w:tc>
        <w:tc>
          <w:tcPr>
            <w:tcW w:w="2080" w:type="dxa"/>
            <w:vAlign w:val="bottom"/>
            <w:gridSpan w:val="13"/>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Arial" w:cs="Arial" w:eastAsia="Arial" w:hAnsi="Arial"/>
          <w:sz w:val="14"/>
          <w:szCs w:val="14"/>
          <w:b w:val="1"/>
          <w:bCs w:val="1"/>
          <w:color w:val="auto"/>
        </w:rPr>
        <w:t>Incorporated by Reference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File No.</w:t>
            </w: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Exhibit</w:t>
            </w: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Filing Date</w:t>
            </w:r>
          </w:p>
        </w:tc>
      </w:tr>
      <w:tr>
        <w:trPr>
          <w:trHeight w:val="372"/>
        </w:trPr>
        <w:tc>
          <w:tcPr>
            <w:tcW w:w="1100" w:type="dxa"/>
            <w:vAlign w:val="bottom"/>
          </w:tcPr>
          <w:p>
            <w:pPr>
              <w:ind w:left="100"/>
              <w:spacing w:after="0"/>
              <w:rPr>
                <w:sz w:val="20"/>
                <w:szCs w:val="20"/>
                <w:color w:val="auto"/>
              </w:rPr>
            </w:pPr>
            <w:r>
              <w:rPr>
                <w:rFonts w:ascii="Arial" w:cs="Arial" w:eastAsia="Arial" w:hAnsi="Arial"/>
                <w:sz w:val="18"/>
                <w:szCs w:val="18"/>
                <w:color w:val="auto"/>
              </w:rPr>
              <w:t>S-1/A</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333-227237</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10.10</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9/24/2018</w:t>
            </w:r>
          </w:p>
        </w:tc>
      </w:tr>
      <w:tr>
        <w:trPr>
          <w:trHeight w:val="594"/>
        </w:trPr>
        <w:tc>
          <w:tcPr>
            <w:tcW w:w="1100" w:type="dxa"/>
            <w:vAlign w:val="bottom"/>
          </w:tcPr>
          <w:p>
            <w:pPr>
              <w:ind w:left="100"/>
              <w:spacing w:after="0"/>
              <w:rPr>
                <w:sz w:val="20"/>
                <w:szCs w:val="20"/>
                <w:color w:val="auto"/>
              </w:rPr>
            </w:pPr>
            <w:r>
              <w:rPr>
                <w:rFonts w:ascii="Arial" w:cs="Arial" w:eastAsia="Arial" w:hAnsi="Arial"/>
                <w:sz w:val="18"/>
                <w:szCs w:val="18"/>
                <w:color w:val="auto"/>
              </w:rPr>
              <w:t>S-1/A</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333-227237</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10.11</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9/24/2018</w:t>
            </w:r>
          </w:p>
        </w:tc>
      </w:tr>
      <w:tr>
        <w:trPr>
          <w:trHeight w:val="810"/>
        </w:trPr>
        <w:tc>
          <w:tcPr>
            <w:tcW w:w="1100" w:type="dxa"/>
            <w:vAlign w:val="bottom"/>
          </w:tcPr>
          <w:p>
            <w:pPr>
              <w:ind w:left="100"/>
              <w:spacing w:after="0"/>
              <w:rPr>
                <w:sz w:val="20"/>
                <w:szCs w:val="20"/>
                <w:color w:val="auto"/>
              </w:rPr>
            </w:pPr>
            <w:r>
              <w:rPr>
                <w:rFonts w:ascii="Arial" w:cs="Arial" w:eastAsia="Arial" w:hAnsi="Arial"/>
                <w:sz w:val="18"/>
                <w:szCs w:val="18"/>
                <w:color w:val="auto"/>
              </w:rPr>
              <w:t>S-1/A</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333-227237</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10.12</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9/24/2018</w:t>
            </w:r>
          </w:p>
        </w:tc>
      </w:tr>
      <w:tr>
        <w:trPr>
          <w:trHeight w:val="810"/>
        </w:trPr>
        <w:tc>
          <w:tcPr>
            <w:tcW w:w="1100" w:type="dxa"/>
            <w:vAlign w:val="bottom"/>
          </w:tcPr>
          <w:p>
            <w:pPr>
              <w:ind w:left="100"/>
              <w:spacing w:after="0"/>
              <w:rPr>
                <w:sz w:val="20"/>
                <w:szCs w:val="20"/>
                <w:color w:val="auto"/>
              </w:rPr>
            </w:pPr>
            <w:r>
              <w:rPr>
                <w:rFonts w:ascii="Arial" w:cs="Arial" w:eastAsia="Arial" w:hAnsi="Arial"/>
                <w:sz w:val="18"/>
                <w:szCs w:val="18"/>
                <w:color w:val="auto"/>
              </w:rPr>
              <w:t>S-1/A</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333-227237</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10.13</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9/24/2018</w:t>
            </w:r>
          </w:p>
        </w:tc>
      </w:tr>
      <w:tr>
        <w:trPr>
          <w:trHeight w:val="810"/>
        </w:trPr>
        <w:tc>
          <w:tcPr>
            <w:tcW w:w="1100" w:type="dxa"/>
            <w:vAlign w:val="bottom"/>
          </w:tcPr>
          <w:p>
            <w:pPr>
              <w:ind w:left="100"/>
              <w:spacing w:after="0"/>
              <w:rPr>
                <w:sz w:val="20"/>
                <w:szCs w:val="20"/>
                <w:color w:val="auto"/>
              </w:rPr>
            </w:pPr>
            <w:r>
              <w:rPr>
                <w:rFonts w:ascii="Arial" w:cs="Arial" w:eastAsia="Arial" w:hAnsi="Arial"/>
                <w:sz w:val="18"/>
                <w:szCs w:val="18"/>
                <w:color w:val="auto"/>
              </w:rPr>
              <w:t>S-1/A</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333-227237</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10.14</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9/24/2018</w:t>
            </w:r>
          </w:p>
        </w:tc>
      </w:tr>
      <w:tr>
        <w:trPr>
          <w:trHeight w:val="810"/>
        </w:trPr>
        <w:tc>
          <w:tcPr>
            <w:tcW w:w="1100" w:type="dxa"/>
            <w:vAlign w:val="bottom"/>
          </w:tcPr>
          <w:p>
            <w:pPr>
              <w:ind w:left="100"/>
              <w:spacing w:after="0"/>
              <w:rPr>
                <w:sz w:val="20"/>
                <w:szCs w:val="20"/>
                <w:color w:val="auto"/>
              </w:rPr>
            </w:pPr>
            <w:r>
              <w:rPr>
                <w:rFonts w:ascii="Arial" w:cs="Arial" w:eastAsia="Arial" w:hAnsi="Arial"/>
                <w:sz w:val="18"/>
                <w:szCs w:val="18"/>
                <w:color w:val="auto"/>
              </w:rPr>
              <w:t>S-1/A</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333-227237</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10.15</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9/24/2018</w:t>
            </w:r>
          </w:p>
        </w:tc>
      </w:tr>
      <w:tr>
        <w:trPr>
          <w:trHeight w:val="391"/>
        </w:trPr>
        <w:tc>
          <w:tcPr>
            <w:tcW w:w="1100" w:type="dxa"/>
            <w:vAlign w:val="bottom"/>
          </w:tcPr>
          <w:p>
            <w:pPr>
              <w:ind w:left="100"/>
              <w:spacing w:after="0"/>
              <w:rPr>
                <w:sz w:val="20"/>
                <w:szCs w:val="20"/>
                <w:color w:val="auto"/>
              </w:rPr>
            </w:pPr>
            <w:r>
              <w:rPr>
                <w:rFonts w:ascii="Arial" w:cs="Arial" w:eastAsia="Arial" w:hAnsi="Arial"/>
                <w:sz w:val="18"/>
                <w:szCs w:val="18"/>
                <w:color w:val="auto"/>
              </w:rPr>
              <w:t>10-K</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001-38682</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10.16</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3/1/2022</w:t>
            </w:r>
          </w:p>
        </w:tc>
      </w:tr>
      <w:tr>
        <w:trPr>
          <w:trHeight w:val="392"/>
        </w:trPr>
        <w:tc>
          <w:tcPr>
            <w:tcW w:w="1100" w:type="dxa"/>
            <w:vAlign w:val="bottom"/>
          </w:tcPr>
          <w:p>
            <w:pPr>
              <w:ind w:left="100"/>
              <w:spacing w:after="0"/>
              <w:rPr>
                <w:sz w:val="20"/>
                <w:szCs w:val="20"/>
                <w:color w:val="auto"/>
              </w:rPr>
            </w:pPr>
            <w:r>
              <w:rPr>
                <w:rFonts w:ascii="Arial" w:cs="Arial" w:eastAsia="Arial" w:hAnsi="Arial"/>
                <w:sz w:val="18"/>
                <w:szCs w:val="18"/>
                <w:color w:val="auto"/>
              </w:rPr>
              <w:t>8-K</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001-38682</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10.1</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12/2/2019</w:t>
            </w:r>
          </w:p>
        </w:tc>
      </w:tr>
    </w:tbl>
    <w:p>
      <w:pPr>
        <w:spacing w:after="0" w:line="549" w:lineRule="exact"/>
        <w:rPr>
          <w:sz w:val="20"/>
          <w:szCs w:val="20"/>
          <w:color w:val="auto"/>
        </w:rPr>
      </w:pPr>
    </w:p>
    <w:p>
      <w:pPr>
        <w:sectPr>
          <w:pgSz w:w="11900" w:h="16838" w:orient="portrait"/>
          <w:cols w:equalWidth="0" w:num="2">
            <w:col w:w="5480" w:space="120"/>
            <w:col w:w="5640"/>
          </w:cols>
          <w:pgMar w:left="320" w:top="333" w:right="339" w:bottom="1440" w:gutter="0" w:footer="0" w:header="0"/>
        </w:sectPr>
      </w:pPr>
    </w:p>
    <w:tbl>
      <w:tblPr>
        <w:tblLayout w:type="fixed"/>
        <w:tblInd w:w="120" w:type="dxa"/>
        <w:tblCellMar>
          <w:top w:w="0" w:type="dxa"/>
          <w:left w:w="0" w:type="dxa"/>
          <w:bottom w:w="0" w:type="dxa"/>
          <w:right w:w="0" w:type="dxa"/>
        </w:tblCellMar>
      </w:tblPr>
      <w:tr>
        <w:trPr>
          <w:trHeight w:val="207"/>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10.18</w:t>
            </w:r>
          </w:p>
        </w:tc>
        <w:tc>
          <w:tcPr>
            <w:tcW w:w="4200" w:type="dxa"/>
            <w:vAlign w:val="bottom"/>
            <w:gridSpan w:val="3"/>
          </w:tcPr>
          <w:p>
            <w:pPr>
              <w:spacing w:after="0"/>
              <w:rPr>
                <w:rFonts w:ascii="Arial" w:cs="Arial" w:eastAsia="Arial" w:hAnsi="Arial"/>
                <w:sz w:val="18"/>
                <w:szCs w:val="18"/>
                <w:color w:val="0000FF"/>
                <w:w w:val="91"/>
              </w:rPr>
            </w:pPr>
            <w:hyperlink r:id="rId297">
              <w:r>
                <w:rPr>
                  <w:rFonts w:ascii="Arial" w:cs="Arial" w:eastAsia="Arial" w:hAnsi="Arial"/>
                  <w:sz w:val="18"/>
                  <w:szCs w:val="18"/>
                  <w:color w:val="0000FF"/>
                  <w:w w:val="91"/>
                </w:rPr>
                <w:t>Lease Agreement for 1200 Page Mill Road, Building 3, by</w:t>
              </w:r>
            </w:hyperlink>
          </w:p>
        </w:tc>
      </w:tr>
      <w:tr>
        <w:trPr>
          <w:trHeight w:val="20"/>
        </w:trPr>
        <w:tc>
          <w:tcPr>
            <w:tcW w:w="114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200" w:type="dxa"/>
            <w:vAlign w:val="bottom"/>
            <w:gridSpan w:val="3"/>
          </w:tcPr>
          <w:p>
            <w:pPr>
              <w:spacing w:after="0" w:line="196" w:lineRule="exact"/>
              <w:rPr>
                <w:rFonts w:ascii="Arial" w:cs="Arial" w:eastAsia="Arial" w:hAnsi="Arial"/>
                <w:sz w:val="18"/>
                <w:szCs w:val="18"/>
                <w:color w:val="0000FF"/>
                <w:w w:val="97"/>
              </w:rPr>
            </w:pPr>
            <w:hyperlink r:id="rId297">
              <w:r>
                <w:rPr>
                  <w:rFonts w:ascii="Arial" w:cs="Arial" w:eastAsia="Arial" w:hAnsi="Arial"/>
                  <w:sz w:val="18"/>
                  <w:szCs w:val="18"/>
                  <w:color w:val="0000FF"/>
                  <w:w w:val="97"/>
                </w:rPr>
                <w:t>and between the Registrant and 1050 Page Mill Road</w:t>
              </w:r>
            </w:hyperlink>
          </w:p>
        </w:tc>
      </w:tr>
      <w:tr>
        <w:trPr>
          <w:trHeight w:val="20"/>
        </w:trPr>
        <w:tc>
          <w:tcPr>
            <w:tcW w:w="114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200" w:type="dxa"/>
            <w:vAlign w:val="bottom"/>
            <w:gridSpan w:val="3"/>
          </w:tcPr>
          <w:p>
            <w:pPr>
              <w:spacing w:after="0" w:line="196" w:lineRule="exact"/>
              <w:rPr>
                <w:rFonts w:ascii="Arial" w:cs="Arial" w:eastAsia="Arial" w:hAnsi="Arial"/>
                <w:sz w:val="18"/>
                <w:szCs w:val="18"/>
                <w:color w:val="0000FF"/>
              </w:rPr>
            </w:pPr>
            <w:hyperlink r:id="rId297">
              <w:r>
                <w:rPr>
                  <w:rFonts w:ascii="Arial" w:cs="Arial" w:eastAsia="Arial" w:hAnsi="Arial"/>
                  <w:sz w:val="18"/>
                  <w:szCs w:val="18"/>
                  <w:color w:val="0000FF"/>
                </w:rPr>
                <w:t>Property, LLC, dated June 19, 2020</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358"/>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10.19</w:t>
            </w:r>
          </w:p>
        </w:tc>
        <w:tc>
          <w:tcPr>
            <w:tcW w:w="4200" w:type="dxa"/>
            <w:vAlign w:val="bottom"/>
            <w:gridSpan w:val="3"/>
          </w:tcPr>
          <w:p>
            <w:pPr>
              <w:spacing w:after="0"/>
              <w:rPr>
                <w:rFonts w:ascii="Arial" w:cs="Arial" w:eastAsia="Arial" w:hAnsi="Arial"/>
                <w:sz w:val="18"/>
                <w:szCs w:val="18"/>
                <w:color w:val="0000FF"/>
                <w:w w:val="91"/>
              </w:rPr>
            </w:pPr>
            <w:hyperlink r:id="rId298">
              <w:r>
                <w:rPr>
                  <w:rFonts w:ascii="Arial" w:cs="Arial" w:eastAsia="Arial" w:hAnsi="Arial"/>
                  <w:sz w:val="18"/>
                  <w:szCs w:val="18"/>
                  <w:color w:val="0000FF"/>
                  <w:w w:val="91"/>
                </w:rPr>
                <w:t>Lease Agreement for 1250 Page Mill Road, Building 4, by</w:t>
              </w:r>
            </w:hyperlink>
          </w:p>
        </w:tc>
      </w:tr>
      <w:tr>
        <w:trPr>
          <w:trHeight w:val="20"/>
        </w:trPr>
        <w:tc>
          <w:tcPr>
            <w:tcW w:w="1140" w:type="dxa"/>
            <w:vAlign w:val="bottom"/>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200" w:type="dxa"/>
            <w:vAlign w:val="bottom"/>
            <w:gridSpan w:val="3"/>
          </w:tcPr>
          <w:p>
            <w:pPr>
              <w:spacing w:after="0" w:line="196" w:lineRule="exact"/>
              <w:rPr>
                <w:rFonts w:ascii="Arial" w:cs="Arial" w:eastAsia="Arial" w:hAnsi="Arial"/>
                <w:sz w:val="18"/>
                <w:szCs w:val="18"/>
                <w:color w:val="0000FF"/>
                <w:w w:val="97"/>
              </w:rPr>
            </w:pPr>
            <w:hyperlink r:id="rId298">
              <w:r>
                <w:rPr>
                  <w:rFonts w:ascii="Arial" w:cs="Arial" w:eastAsia="Arial" w:hAnsi="Arial"/>
                  <w:sz w:val="18"/>
                  <w:szCs w:val="18"/>
                  <w:color w:val="0000FF"/>
                  <w:w w:val="97"/>
                </w:rPr>
                <w:t>and between the Registrant and 1050 Page Mill Road</w:t>
              </w:r>
            </w:hyperlink>
          </w:p>
        </w:tc>
      </w:tr>
      <w:tr>
        <w:trPr>
          <w:trHeight w:val="20"/>
        </w:trPr>
        <w:tc>
          <w:tcPr>
            <w:tcW w:w="1140" w:type="dxa"/>
            <w:vAlign w:val="bottom"/>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200" w:type="dxa"/>
            <w:vAlign w:val="bottom"/>
            <w:gridSpan w:val="3"/>
          </w:tcPr>
          <w:p>
            <w:pPr>
              <w:spacing w:after="0" w:line="196" w:lineRule="exact"/>
              <w:rPr>
                <w:rFonts w:ascii="Arial" w:cs="Arial" w:eastAsia="Arial" w:hAnsi="Arial"/>
                <w:sz w:val="18"/>
                <w:szCs w:val="18"/>
                <w:color w:val="0000FF"/>
              </w:rPr>
            </w:pPr>
            <w:hyperlink r:id="rId298">
              <w:r>
                <w:rPr>
                  <w:rFonts w:ascii="Arial" w:cs="Arial" w:eastAsia="Arial" w:hAnsi="Arial"/>
                  <w:sz w:val="18"/>
                  <w:szCs w:val="18"/>
                  <w:color w:val="0000FF"/>
                </w:rPr>
                <w:t>Property, LLC, dated June 19, 2020</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10-Q</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001-38682</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1180" w:type="dxa"/>
            <w:vAlign w:val="bottom"/>
          </w:tcPr>
          <w:p>
            <w:pPr>
              <w:jc w:val="right"/>
              <w:spacing w:after="0"/>
              <w:rPr>
                <w:sz w:val="20"/>
                <w:szCs w:val="20"/>
                <w:color w:val="auto"/>
              </w:rPr>
            </w:pPr>
            <w:r>
              <w:rPr>
                <w:rFonts w:ascii="Arial" w:cs="Arial" w:eastAsia="Arial" w:hAnsi="Arial"/>
                <w:sz w:val="18"/>
                <w:szCs w:val="18"/>
                <w:color w:val="auto"/>
              </w:rPr>
              <w:t>8/10/2020</w:t>
            </w:r>
          </w:p>
        </w:tc>
      </w:tr>
      <w:tr>
        <w:trPr>
          <w:trHeight w:val="810"/>
        </w:trPr>
        <w:tc>
          <w:tcPr>
            <w:tcW w:w="780" w:type="dxa"/>
            <w:vAlign w:val="bottom"/>
          </w:tcPr>
          <w:p>
            <w:pPr>
              <w:spacing w:after="0"/>
              <w:rPr>
                <w:sz w:val="20"/>
                <w:szCs w:val="20"/>
                <w:color w:val="auto"/>
              </w:rPr>
            </w:pPr>
            <w:r>
              <w:rPr>
                <w:rFonts w:ascii="Arial" w:cs="Arial" w:eastAsia="Arial" w:hAnsi="Arial"/>
                <w:sz w:val="18"/>
                <w:szCs w:val="18"/>
                <w:color w:val="auto"/>
              </w:rPr>
              <w:t>10-Q</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001-38682</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10.2</w:t>
            </w:r>
          </w:p>
        </w:tc>
        <w:tc>
          <w:tcPr>
            <w:tcW w:w="1180" w:type="dxa"/>
            <w:vAlign w:val="bottom"/>
          </w:tcPr>
          <w:p>
            <w:pPr>
              <w:jc w:val="right"/>
              <w:spacing w:after="0"/>
              <w:rPr>
                <w:sz w:val="20"/>
                <w:szCs w:val="20"/>
                <w:color w:val="auto"/>
              </w:rPr>
            </w:pPr>
            <w:r>
              <w:rPr>
                <w:rFonts w:ascii="Arial" w:cs="Arial" w:eastAsia="Arial" w:hAnsi="Arial"/>
                <w:sz w:val="18"/>
                <w:szCs w:val="18"/>
                <w:color w:val="auto"/>
              </w:rPr>
              <w:t>8/10/2020</w:t>
            </w:r>
          </w:p>
        </w:tc>
      </w:tr>
    </w:tbl>
    <w:p>
      <w:pPr>
        <w:spacing w:after="0" w:line="566" w:lineRule="exact"/>
        <w:rPr>
          <w:sz w:val="20"/>
          <w:szCs w:val="20"/>
          <w:color w:val="auto"/>
        </w:rPr>
      </w:pPr>
    </w:p>
    <w:p>
      <w:pPr>
        <w:sectPr>
          <w:pgSz w:w="11900" w:h="16838" w:orient="portrait"/>
          <w:cols w:equalWidth="0" w:num="2">
            <w:col w:w="5460" w:space="240"/>
            <w:col w:w="5540"/>
          </w:cols>
          <w:pgMar w:left="320" w:top="333" w:right="339" w:bottom="1440" w:gutter="0" w:footer="0" w:header="0"/>
          <w:type w:val="continuous"/>
        </w:sectPr>
      </w:pPr>
    </w:p>
    <w:p>
      <w:pPr>
        <w:ind w:left="120"/>
        <w:spacing w:after="0"/>
        <w:tabs>
          <w:tab w:leader="none" w:pos="1220" w:val="left"/>
          <w:tab w:leader="none" w:pos="5680" w:val="left"/>
          <w:tab w:leader="none" w:pos="6880" w:val="left"/>
          <w:tab w:leader="none" w:pos="8640" w:val="left"/>
          <w:tab w:leader="none" w:pos="98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299">
        <w:r>
          <w:rPr>
            <w:rFonts w:ascii="Arial" w:cs="Arial" w:eastAsia="Arial" w:hAnsi="Arial"/>
            <w:sz w:val="18"/>
            <w:szCs w:val="18"/>
            <w:u w:val="single" w:color="auto"/>
            <w:color w:val="0000FF"/>
          </w:rPr>
          <w:t>Underwriting Agreement, dated as of November 17, 2020,</w:t>
        </w:r>
      </w:hyperlink>
      <w:r>
        <w:rPr>
          <w:rFonts w:ascii="Arial" w:cs="Arial" w:eastAsia="Arial" w:hAnsi="Arial"/>
          <w:sz w:val="18"/>
          <w:szCs w:val="18"/>
          <w:u w:val="single" w:color="auto"/>
          <w:color w:val="0000FF"/>
        </w:rPr>
        <w:tab/>
        <w:t>8-K</w:t>
        <w:tab/>
        <w:t>001-38682</w:t>
        <w:tab/>
        <w:t>1.1</w:t>
        <w:tab/>
      </w:r>
      <w:r>
        <w:rPr>
          <w:rFonts w:ascii="Arial" w:cs="Arial" w:eastAsia="Arial" w:hAnsi="Arial"/>
          <w:sz w:val="16"/>
          <w:szCs w:val="16"/>
          <w:u w:val="single" w:color="auto"/>
          <w:color w:val="0000FF"/>
        </w:rPr>
        <w:t>11/18/2020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-10160</wp:posOffset>
            </wp:positionV>
            <wp:extent cx="26835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2683510" cy="8255"/>
                    </a:xfrm>
                    <a:prstGeom prst="rect">
                      <a:avLst/>
                    </a:prstGeom>
                    <a:noFill/>
                  </pic:spPr>
                </pic:pic>
              </a:graphicData>
            </a:graphic>
          </wp:anchor>
        </w:drawing>
      </w:r>
    </w:p>
    <w:p>
      <w:pPr>
        <w:spacing w:after="0" w:line="5" w:lineRule="exact"/>
        <w:rPr>
          <w:sz w:val="20"/>
          <w:szCs w:val="20"/>
          <w:color w:val="auto"/>
        </w:rPr>
      </w:pPr>
    </w:p>
    <w:p>
      <w:pPr>
        <w:ind w:left="1240"/>
        <w:spacing w:after="0"/>
        <w:rPr>
          <w:rFonts w:ascii="Arial" w:cs="Arial" w:eastAsia="Arial" w:hAnsi="Arial"/>
          <w:sz w:val="18"/>
          <w:szCs w:val="18"/>
          <w:u w:val="single" w:color="auto"/>
          <w:color w:val="0000FF"/>
        </w:rPr>
      </w:pPr>
      <w:hyperlink r:id="rId299">
        <w:r>
          <w:rPr>
            <w:rFonts w:ascii="Arial" w:cs="Arial" w:eastAsia="Arial" w:hAnsi="Arial"/>
            <w:sz w:val="18"/>
            <w:szCs w:val="18"/>
            <w:u w:val="single" w:color="auto"/>
            <w:color w:val="0000FF"/>
          </w:rPr>
          <w:t>by and among Kodiak Sciences Inc., J.P. Morgan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-20320</wp:posOffset>
            </wp:positionV>
            <wp:extent cx="22701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2270125" cy="8890"/>
                    </a:xfrm>
                    <a:prstGeom prst="rect">
                      <a:avLst/>
                    </a:prstGeom>
                    <a:noFill/>
                  </pic:spPr>
                </pic:pic>
              </a:graphicData>
            </a:graphic>
          </wp:anchor>
        </w:drawing>
      </w:r>
    </w:p>
    <w:p>
      <w:pPr>
        <w:ind w:left="1240"/>
        <w:spacing w:after="0"/>
        <w:rPr>
          <w:rFonts w:ascii="Arial" w:cs="Arial" w:eastAsia="Arial" w:hAnsi="Arial"/>
          <w:sz w:val="18"/>
          <w:szCs w:val="18"/>
          <w:u w:val="single" w:color="auto"/>
          <w:color w:val="0000FF"/>
        </w:rPr>
      </w:pPr>
      <w:hyperlink r:id="rId299">
        <w:r>
          <w:rPr>
            <w:rFonts w:ascii="Arial" w:cs="Arial" w:eastAsia="Arial" w:hAnsi="Arial"/>
            <w:sz w:val="18"/>
            <w:szCs w:val="18"/>
            <w:u w:val="single" w:color="auto"/>
            <w:color w:val="0000FF"/>
          </w:rPr>
          <w:t>Securities LLC, Morgan Stanley &amp; Co. LLC, Jefferies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-19050</wp:posOffset>
            </wp:positionV>
            <wp:extent cx="25057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2505710" cy="8255"/>
                    </a:xfrm>
                    <a:prstGeom prst="rect">
                      <a:avLst/>
                    </a:prstGeom>
                    <a:noFill/>
                  </pic:spPr>
                </pic:pic>
              </a:graphicData>
            </a:graphic>
          </wp:anchor>
        </w:drawing>
      </w:r>
    </w:p>
    <w:p>
      <w:pPr>
        <w:ind w:left="1240"/>
        <w:spacing w:after="0"/>
        <w:rPr>
          <w:rFonts w:ascii="Arial" w:cs="Arial" w:eastAsia="Arial" w:hAnsi="Arial"/>
          <w:sz w:val="18"/>
          <w:szCs w:val="18"/>
          <w:u w:val="single" w:color="auto"/>
          <w:color w:val="0000FF"/>
        </w:rPr>
      </w:pPr>
      <w:hyperlink r:id="rId299">
        <w:r>
          <w:rPr>
            <w:rFonts w:ascii="Arial" w:cs="Arial" w:eastAsia="Arial" w:hAnsi="Arial"/>
            <w:sz w:val="18"/>
            <w:szCs w:val="18"/>
            <w:u w:val="single" w:color="auto"/>
            <w:color w:val="0000FF"/>
          </w:rPr>
          <w:t>LLC and Evercore Group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-19050</wp:posOffset>
            </wp:positionV>
            <wp:extent cx="15005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10.21</w:t>
            </w:r>
          </w:p>
        </w:tc>
        <w:tc>
          <w:tcPr>
            <w:tcW w:w="4000" w:type="dxa"/>
            <w:vAlign w:val="bottom"/>
            <w:gridSpan w:val="7"/>
          </w:tcPr>
          <w:p>
            <w:pPr>
              <w:spacing w:after="0"/>
              <w:rPr>
                <w:rFonts w:ascii="Arial" w:cs="Arial" w:eastAsia="Arial" w:hAnsi="Arial"/>
                <w:sz w:val="18"/>
                <w:szCs w:val="18"/>
                <w:color w:val="0000FF"/>
              </w:rPr>
            </w:pPr>
            <w:hyperlink r:id="rId304">
              <w:r>
                <w:rPr>
                  <w:rFonts w:ascii="Arial" w:cs="Arial" w:eastAsia="Arial" w:hAnsi="Arial"/>
                  <w:sz w:val="18"/>
                  <w:szCs w:val="18"/>
                  <w:color w:val="0000FF"/>
                </w:rPr>
                <w:t>Letter Agreement, dated July 22, 2021</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10.22</w:t>
            </w:r>
          </w:p>
        </w:tc>
        <w:tc>
          <w:tcPr>
            <w:tcW w:w="4000" w:type="dxa"/>
            <w:vAlign w:val="bottom"/>
            <w:gridSpan w:val="7"/>
          </w:tcPr>
          <w:p>
            <w:pPr>
              <w:spacing w:after="0"/>
              <w:rPr>
                <w:rFonts w:ascii="Arial" w:cs="Arial" w:eastAsia="Arial" w:hAnsi="Arial"/>
                <w:sz w:val="18"/>
                <w:szCs w:val="18"/>
                <w:color w:val="0000FF"/>
              </w:rPr>
            </w:pPr>
            <w:hyperlink r:id="rId305">
              <w:r>
                <w:rPr>
                  <w:rFonts w:ascii="Arial" w:cs="Arial" w:eastAsia="Arial" w:hAnsi="Arial"/>
                  <w:sz w:val="18"/>
                  <w:szCs w:val="18"/>
                  <w:color w:val="0000FF"/>
                </w:rPr>
                <w:t>2021 Long-Term Performance Incentive Plan</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90"/>
              </w:rPr>
              <w:t>23.1*</w:t>
            </w:r>
          </w:p>
        </w:tc>
        <w:tc>
          <w:tcPr>
            <w:tcW w:w="4000" w:type="dxa"/>
            <w:vAlign w:val="bottom"/>
            <w:gridSpan w:val="7"/>
          </w:tcPr>
          <w:p>
            <w:pPr>
              <w:spacing w:after="0"/>
              <w:rPr>
                <w:sz w:val="20"/>
                <w:szCs w:val="20"/>
                <w:color w:val="auto"/>
              </w:rPr>
            </w:pPr>
            <w:r>
              <w:rPr>
                <w:rFonts w:ascii="Arial" w:cs="Arial" w:eastAsia="Arial" w:hAnsi="Arial"/>
                <w:sz w:val="18"/>
                <w:szCs w:val="18"/>
                <w:color w:val="0000FF"/>
                <w:w w:val="92"/>
              </w:rPr>
              <w:t>Consent of Independent Registered Public Accounting</w:t>
            </w:r>
          </w:p>
        </w:tc>
      </w:tr>
      <w:tr>
        <w:trPr>
          <w:trHeight w:val="20"/>
        </w:trPr>
        <w:tc>
          <w:tcPr>
            <w:tcW w:w="11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7"/>
          </w:tcPr>
          <w:p>
            <w:pPr>
              <w:spacing w:after="0" w:line="196" w:lineRule="exact"/>
              <w:rPr>
                <w:sz w:val="20"/>
                <w:szCs w:val="20"/>
                <w:color w:val="auto"/>
              </w:rPr>
            </w:pPr>
            <w:r>
              <w:rPr>
                <w:rFonts w:ascii="Arial" w:cs="Arial" w:eastAsia="Arial" w:hAnsi="Arial"/>
                <w:sz w:val="18"/>
                <w:szCs w:val="18"/>
                <w:color w:val="0000FF"/>
              </w:rPr>
              <w:t>Firm</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358"/>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90"/>
              </w:rPr>
              <w:t>24.1*</w:t>
            </w:r>
          </w:p>
        </w:tc>
        <w:tc>
          <w:tcPr>
            <w:tcW w:w="4000" w:type="dxa"/>
            <w:vAlign w:val="bottom"/>
            <w:gridSpan w:val="7"/>
          </w:tcPr>
          <w:p>
            <w:pPr>
              <w:spacing w:after="0"/>
              <w:rPr>
                <w:sz w:val="20"/>
                <w:szCs w:val="20"/>
                <w:color w:val="auto"/>
              </w:rPr>
            </w:pPr>
            <w:r>
              <w:rPr>
                <w:rFonts w:ascii="Arial" w:cs="Arial" w:eastAsia="Arial" w:hAnsi="Arial"/>
                <w:sz w:val="18"/>
                <w:szCs w:val="18"/>
                <w:color w:val="0000FF"/>
              </w:rPr>
              <w:t>Power of Attorney (included in signature page)</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371"/>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90"/>
              </w:rPr>
              <w:t>31.1*</w:t>
            </w:r>
          </w:p>
        </w:tc>
        <w:tc>
          <w:tcPr>
            <w:tcW w:w="4000" w:type="dxa"/>
            <w:vAlign w:val="bottom"/>
            <w:gridSpan w:val="7"/>
          </w:tcPr>
          <w:p>
            <w:pPr>
              <w:spacing w:after="0"/>
              <w:rPr>
                <w:sz w:val="20"/>
                <w:szCs w:val="20"/>
                <w:color w:val="auto"/>
              </w:rPr>
            </w:pPr>
            <w:r>
              <w:rPr>
                <w:rFonts w:ascii="Arial" w:cs="Arial" w:eastAsia="Arial" w:hAnsi="Arial"/>
                <w:sz w:val="18"/>
                <w:szCs w:val="18"/>
                <w:color w:val="0000FF"/>
                <w:w w:val="93"/>
              </w:rPr>
              <w:t>Certification of Principal Executive Officer Pursuant to</w:t>
            </w:r>
          </w:p>
        </w:tc>
      </w:tr>
      <w:tr>
        <w:trPr>
          <w:trHeight w:val="20"/>
        </w:trPr>
        <w:tc>
          <w:tcPr>
            <w:tcW w:w="1140" w:type="dxa"/>
            <w:vAlign w:val="bottom"/>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7"/>
          </w:tcPr>
          <w:p>
            <w:pPr>
              <w:spacing w:after="0" w:line="196" w:lineRule="exact"/>
              <w:rPr>
                <w:sz w:val="20"/>
                <w:szCs w:val="20"/>
                <w:color w:val="auto"/>
              </w:rPr>
            </w:pPr>
            <w:r>
              <w:rPr>
                <w:rFonts w:ascii="Arial" w:cs="Arial" w:eastAsia="Arial" w:hAnsi="Arial"/>
                <w:sz w:val="18"/>
                <w:szCs w:val="18"/>
                <w:color w:val="0000FF"/>
                <w:w w:val="96"/>
              </w:rPr>
              <w:t>Rules 13a-14(a) and 15d-14(a) under the Securities</w:t>
            </w:r>
          </w:p>
        </w:tc>
      </w:tr>
      <w:tr>
        <w:trPr>
          <w:trHeight w:val="20"/>
        </w:trPr>
        <w:tc>
          <w:tcPr>
            <w:tcW w:w="11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 w:lineRule="exact"/>
        <w:rPr>
          <w:sz w:val="20"/>
          <w:szCs w:val="20"/>
          <w:color w:val="auto"/>
        </w:rPr>
      </w:pPr>
    </w:p>
    <w:p>
      <w:pPr>
        <w:ind w:left="1240" w:right="60"/>
        <w:spacing w:after="0" w:line="277" w:lineRule="auto"/>
        <w:rPr>
          <w:sz w:val="20"/>
          <w:szCs w:val="20"/>
          <w:color w:val="auto"/>
        </w:rPr>
      </w:pPr>
      <w:r>
        <w:rPr>
          <w:rFonts w:ascii="Arial" w:cs="Arial" w:eastAsia="Arial" w:hAnsi="Arial"/>
          <w:sz w:val="18"/>
          <w:szCs w:val="18"/>
          <w:u w:val="single" w:color="auto"/>
          <w:color w:val="0000FF"/>
        </w:rPr>
        <w:t>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-182245</wp:posOffset>
            </wp:positionV>
            <wp:extent cx="25450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2545080" cy="825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-45085</wp:posOffset>
            </wp:positionV>
            <wp:extent cx="18243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1824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8-K</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001-38682</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160" w:type="dxa"/>
            <w:vAlign w:val="bottom"/>
          </w:tcPr>
          <w:p>
            <w:pPr>
              <w:jc w:val="right"/>
              <w:spacing w:after="0"/>
              <w:rPr>
                <w:sz w:val="20"/>
                <w:szCs w:val="20"/>
                <w:color w:val="auto"/>
              </w:rPr>
            </w:pPr>
            <w:r>
              <w:rPr>
                <w:rFonts w:ascii="Arial" w:cs="Arial" w:eastAsia="Arial" w:hAnsi="Arial"/>
                <w:sz w:val="18"/>
                <w:szCs w:val="18"/>
                <w:color w:val="auto"/>
              </w:rPr>
              <w:t>7/23/2021</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10-Q</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001-38682</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160" w:type="dxa"/>
            <w:vAlign w:val="bottom"/>
          </w:tcPr>
          <w:p>
            <w:pPr>
              <w:jc w:val="right"/>
              <w:spacing w:after="0"/>
              <w:rPr>
                <w:sz w:val="20"/>
                <w:szCs w:val="20"/>
                <w:color w:val="auto"/>
              </w:rPr>
            </w:pPr>
            <w:r>
              <w:rPr>
                <w:rFonts w:ascii="Arial" w:cs="Arial" w:eastAsia="Arial" w:hAnsi="Arial"/>
                <w:sz w:val="18"/>
                <w:szCs w:val="18"/>
                <w:color w:val="auto"/>
              </w:rPr>
              <w:t>11/9/2021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60" w:space="240"/>
            <w:col w:w="5740"/>
          </w:cols>
          <w:pgMar w:left="320" w:top="333" w:right="3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185"/>
        </w:trPr>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37"/>
        </w:trPr>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ind w:left="13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0"/>
                <w:szCs w:val="20"/>
                <w:color w:val="auto"/>
              </w:rPr>
            </w:pP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20"/>
                <w:szCs w:val="20"/>
                <w:color w:val="auto"/>
              </w:rPr>
            </w:pPr>
          </w:p>
        </w:tc>
        <w:tc>
          <w:tcPr>
            <w:tcW w:w="16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0"/>
                <w:szCs w:val="20"/>
                <w:color w:val="auto"/>
              </w:rPr>
            </w:pP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Filing Date</w:t>
            </w:r>
          </w:p>
        </w:tc>
      </w:tr>
      <w:tr>
        <w:trPr>
          <w:trHeight w:val="318"/>
        </w:trPr>
        <w:tc>
          <w:tcPr>
            <w:tcW w:w="1100" w:type="dxa"/>
            <w:vAlign w:val="bottom"/>
          </w:tcPr>
          <w:p>
            <w:pPr>
              <w:ind w:left="1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3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4"/>
              </w:rPr>
              <w:t>Certification of Principal Financial and Accounting</w:t>
            </w:r>
          </w:p>
        </w:tc>
        <w:tc>
          <w:tcPr>
            <w:tcW w:w="620" w:type="dxa"/>
            <w:vAlign w:val="bottom"/>
            <w:gridSpan w:val="7"/>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0"/>
              </w:rPr>
              <w:t>Officer Pursuant to Rules 13a-14(a) and 15d-14(a) under</w:t>
            </w:r>
          </w:p>
        </w:tc>
        <w:tc>
          <w:tcPr>
            <w:tcW w:w="22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89"/>
              </w:rPr>
              <w:t>the Securities Exchange Act of 1934, as Adopted Pursuant</w:t>
            </w:r>
          </w:p>
        </w:tc>
        <w:tc>
          <w:tcPr>
            <w:tcW w:w="14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700" w:type="dxa"/>
            <w:vAlign w:val="bottom"/>
            <w:gridSpan w:val="8"/>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58"/>
        </w:trPr>
        <w:tc>
          <w:tcPr>
            <w:tcW w:w="1100" w:type="dxa"/>
            <w:vAlign w:val="bottom"/>
          </w:tcPr>
          <w:p>
            <w:pPr>
              <w:ind w:lef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42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Principal Executive Officer Pursuant to 18</w:t>
            </w:r>
          </w:p>
        </w:tc>
        <w:tc>
          <w:tcPr>
            <w:tcW w:w="14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U.S.C. Section 1350, as Adopted Pursuant to Section 906</w:t>
            </w:r>
          </w:p>
        </w:tc>
        <w:tc>
          <w:tcPr>
            <w:tcW w:w="18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of the Sarbanes-Oxley Act of 2002.</w:t>
            </w:r>
          </w:p>
        </w:tc>
        <w:tc>
          <w:tcPr>
            <w:tcW w:w="1800" w:type="dxa"/>
            <w:vAlign w:val="bottom"/>
            <w:gridSpan w:val="10"/>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58"/>
        </w:trPr>
        <w:tc>
          <w:tcPr>
            <w:tcW w:w="1100" w:type="dxa"/>
            <w:vAlign w:val="bottom"/>
          </w:tcPr>
          <w:p>
            <w:pPr>
              <w:ind w:left="1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3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4"/>
              </w:rPr>
              <w:t>Certification of Principal Financial and Accounting</w:t>
            </w:r>
          </w:p>
        </w:tc>
        <w:tc>
          <w:tcPr>
            <w:tcW w:w="620" w:type="dxa"/>
            <w:vAlign w:val="bottom"/>
            <w:gridSpan w:val="7"/>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0"/>
              </w:rPr>
              <w:t>Officer Pursuant to 18 U.S.C. Section 1350, as Adopted</w:t>
            </w:r>
          </w:p>
        </w:tc>
        <w:tc>
          <w:tcPr>
            <w:tcW w:w="300" w:type="dxa"/>
            <w:vAlign w:val="bottom"/>
            <w:gridSpan w:val="5"/>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Pursuant to Section 906 of the Sarbanes-Oxley Act of</w:t>
            </w:r>
          </w:p>
        </w:tc>
        <w:tc>
          <w:tcPr>
            <w:tcW w:w="460" w:type="dxa"/>
            <w:vAlign w:val="bottom"/>
            <w:gridSpan w:val="6"/>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Arial" w:cs="Arial" w:eastAsia="Arial" w:hAnsi="Arial"/>
                <w:sz w:val="18"/>
                <w:szCs w:val="18"/>
                <w:color w:val="0000FF"/>
                <w:w w:val="84"/>
              </w:rPr>
              <w:t>2002.</w:t>
            </w:r>
          </w:p>
        </w:tc>
        <w:tc>
          <w:tcPr>
            <w:tcW w:w="2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7"/>
        </w:trPr>
        <w:tc>
          <w:tcPr>
            <w:tcW w:w="110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w w:val="98"/>
              </w:rPr>
              <w:t>Inline XBRL Taxonomy Extension Calculation Linkbase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11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110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110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w w:val="96"/>
              </w:rPr>
              <w:t>Inline XBRL Taxonomy Extension Presentation Linkbase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148" w:lineRule="exact"/>
        <w:rPr>
          <w:sz w:val="20"/>
          <w:szCs w:val="20"/>
          <w:color w:val="auto"/>
        </w:rPr>
      </w:pPr>
    </w:p>
    <w:p>
      <w:pPr>
        <w:ind w:left="1240" w:right="6180" w:hanging="1219"/>
        <w:spacing w:after="0" w:line="277" w:lineRule="auto"/>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36" w:lineRule="exact"/>
        <w:rPr>
          <w:sz w:val="20"/>
          <w:szCs w:val="20"/>
          <w:color w:val="auto"/>
        </w:rPr>
      </w:pPr>
    </w:p>
    <w:p>
      <w:pPr>
        <w:ind w:right="40" w:firstLine="8"/>
        <w:spacing w:after="0" w:line="279" w:lineRule="auto"/>
        <w:tabs>
          <w:tab w:leader="none" w:pos="1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are deemed “furnished” and not deemed “filed” for purposes of Section 18 of the Securities Exchange Act of 1934 and are not to be incorporated by reference into any filing of Kodiak Sciences Inc.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KODIAK SCIENCES INC.</w:t>
      </w:r>
    </w:p>
    <w:p>
      <w:pPr>
        <w:spacing w:after="0" w:line="252" w:lineRule="exact"/>
        <w:rPr>
          <w:sz w:val="20"/>
          <w:szCs w:val="20"/>
          <w:color w:val="auto"/>
        </w:rPr>
      </w:pPr>
    </w:p>
    <w:p>
      <w:pPr>
        <w:ind w:left="1760"/>
        <w:spacing w:after="0"/>
        <w:tabs>
          <w:tab w:leader="none" w:pos="518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7"/>
          <w:szCs w:val="17"/>
          <w:color w:val="auto"/>
        </w:rPr>
        <w:t>By:</w:t>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Victor Perlroth</w:t>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Victor Perlroth,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Victor Perlroth and John Borgeson,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6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337" w:right="339" w:bottom="1440" w:gutter="0" w:footer="0" w:header="0"/>
        </w:sectPr>
      </w:pPr>
    </w:p>
    <w:p>
      <w:pPr>
        <w:spacing w:after="0" w:line="85"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431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Victor Perlroth, M.D.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Borgeson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Felix J. Baker, Ph.D.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Charles Bancroft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Charles Bancroft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Bassil I. Dahiyat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Bassil I. Dahiyat, Ph.D.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S.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S. Levy, M.D.</w:t>
      </w:r>
    </w:p>
    <w:p>
      <w:pPr>
        <w:spacing w:after="0" w:line="279" w:lineRule="exact"/>
        <w:rPr>
          <w:sz w:val="20"/>
          <w:szCs w:val="20"/>
          <w:color w:val="auto"/>
        </w:rPr>
      </w:pPr>
    </w:p>
    <w:p>
      <w:pPr>
        <w:ind w:left="20" w:right="1000"/>
        <w:spacing w:after="0" w:line="395" w:lineRule="auto"/>
        <w:rPr>
          <w:sz w:val="20"/>
          <w:szCs w:val="20"/>
          <w:color w:val="auto"/>
        </w:rPr>
      </w:pPr>
      <w:r>
        <w:rPr>
          <w:rFonts w:ascii="Arial" w:cs="Arial" w:eastAsia="Arial" w:hAnsi="Arial"/>
          <w:sz w:val="16"/>
          <w:szCs w:val="16"/>
          <w:color w:val="auto"/>
        </w:rPr>
        <w:t>/s/ Robert A. Profusek Robert A. Profusek,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1431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Taiyin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Taiyin Yang, Ph.D.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0600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26035</wp:posOffset>
            </wp:positionV>
            <wp:extent cx="17830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465" w:lineRule="exact"/>
        <w:rPr>
          <w:sz w:val="20"/>
          <w:szCs w:val="20"/>
          <w:color w:val="auto"/>
        </w:rPr>
      </w:pPr>
    </w:p>
    <w:p>
      <w:pPr>
        <w:sectPr>
          <w:pgSz w:w="11900" w:h="16838" w:orient="portrait"/>
          <w:cols w:equalWidth="0" w:num="3">
            <w:col w:w="2800" w:space="720"/>
            <w:col w:w="5020" w:space="720"/>
            <w:col w:w="1980"/>
          </w:cols>
          <w:pgMar w:left="320" w:top="337" w:right="339" w:bottom="1440" w:gutter="0" w:footer="0" w:header="0"/>
          <w:type w:val="continuous"/>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60"/>
        <w:spacing w:after="0" w:line="224" w:lineRule="exact"/>
        <w:rPr>
          <w:sz w:val="20"/>
          <w:szCs w:val="20"/>
          <w:color w:val="auto"/>
        </w:rPr>
      </w:pPr>
      <w:r>
        <w:rPr>
          <w:rFonts w:ascii="Arial" w:cs="Arial" w:eastAsia="Arial" w:hAnsi="Arial"/>
          <w:sz w:val="16"/>
          <w:szCs w:val="16"/>
          <w:color w:val="auto"/>
        </w:rPr>
        <w:t>We hereby consent to the incorporation by reference in the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(Nos. 333-227755, 333-231503, 333-253751, 333-261670 and 333-264829) of Kodiak Sciences Inc. of our report dated March 28, 2023 relating to the financial statements,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25"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Victor Perlroth, M.D.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25"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John Borgeson</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connection with the Annual Report of Kodiak Sciences Inc. (the “Company”) on Form 10-K for the fiscal year ended December 31, 2022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440" w:val="left"/>
          <w:tab w:leader="none" w:pos="790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23495</wp:posOffset>
            </wp:positionV>
            <wp:extent cx="34029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Victor Perlroth, M.D.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80" w:firstLine="749"/>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connection with the Annual Report of Kodiak Sciences Inc. (the “Company”) on Form 10-K for the fiscal year ended December 31, 2022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440" w:val="left"/>
          <w:tab w:leader="none" w:pos="790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23495</wp:posOffset>
            </wp:positionV>
            <wp:extent cx="34029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7"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John Borgeson</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24"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80" w:firstLine="749"/>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
      <w:numFmt w:val="bullet"/>
      <w:start w:val="1"/>
    </w:lvl>
    <w:lvl w:ilvl="1">
      <w:lvlJc w:val="left"/>
      <w:lvlText w:val="%2"/>
      <w:numFmt w:val="decimal"/>
      <w:start w:val="104"/>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88"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272" Type="http://schemas.openxmlformats.org/officeDocument/2006/relationships/hyperlink" Target="https://www.sec.gov/Archives/edgar/data/0001468748/000156459018029743/kod-ex31_303.htm" TargetMode="External"/><Relationship Id="rId273" Type="http://schemas.openxmlformats.org/officeDocument/2006/relationships/hyperlink" Target="https://www.sec.gov/Archives/edgar/data/0001468748/000156459018029743/kod-ex32_302.htm" TargetMode="External"/><Relationship Id="rId274" Type="http://schemas.openxmlformats.org/officeDocument/2006/relationships/hyperlink" Target="https://www.sec.gov/Archives/edgar/data/0001468748/000119312518280419/d516071dex41.htm" TargetMode="External"/><Relationship Id="rId275" Type="http://schemas.openxmlformats.org/officeDocument/2006/relationships/hyperlink" Target="https://www.sec.gov/Archives/edgar/data/0001468748/000119312518280419/d516071dex42.htm" TargetMode="External"/><Relationship Id="rId276" Type="http://schemas.openxmlformats.org/officeDocument/2006/relationships/hyperlink" Target="https://www.sec.gov/Archives/edgar/data/0001468748/000119312518269221/d516071dex45.htm" TargetMode="External"/><Relationship Id="rId277" Type="http://schemas.openxmlformats.org/officeDocument/2006/relationships/hyperlink" Target="https://www.sec.gov/Archives/edgar/data/1468748/000156459020011186/kod-ex46_599.htm" TargetMode="External"/><Relationship Id="rId278" Type="http://schemas.openxmlformats.org/officeDocument/2006/relationships/hyperlink" Target="https://www.sec.gov/Archives/edgar/data/1468748/000156459021009946/kod-ex47_8.htm" TargetMode="External"/><Relationship Id="rId279" Type="http://schemas.openxmlformats.org/officeDocument/2006/relationships/hyperlink" Target="https://www.sec.gov/Archives/edgar/data/0001468748/000119312518280419/d516071dex101.htm" TargetMode="External"/><Relationship Id="rId280" Type="http://schemas.openxmlformats.org/officeDocument/2006/relationships/hyperlink" Target="https://www.sec.gov/Archives/edgar/data/0001468748/000119312518269221/d516071dex102.htm" TargetMode="External"/><Relationship Id="rId281" Type="http://schemas.openxmlformats.org/officeDocument/2006/relationships/hyperlink" Target="https://www.sec.gov/Archives/edgar/data/0001468748/000119312518269221/d516071dex103.htm" TargetMode="External"/><Relationship Id="rId282" Type="http://schemas.openxmlformats.org/officeDocument/2006/relationships/hyperlink" Target="https://www.sec.gov/Archives/edgar/data/0001468748/000119312518269221/d516071dex104.htm" TargetMode="External"/><Relationship Id="rId283" Type="http://schemas.openxmlformats.org/officeDocument/2006/relationships/hyperlink" Target="https://www.sec.gov/Archives/edgar/data/0001468748/000119312518269221/d516071dex105.htm" TargetMode="External"/><Relationship Id="rId284" Type="http://schemas.openxmlformats.org/officeDocument/2006/relationships/hyperlink" Target="https://www.sec.gov/Archives/edgar/data/0001468748/000119312518280419/d516071dex106.htm" TargetMode="External"/><Relationship Id="rId285" Type="http://schemas.openxmlformats.org/officeDocument/2006/relationships/hyperlink" Target="https://www.sec.gov/Archives/edgar/data/0001468748/000119312518280419/d516071dex107.htm" TargetMode="External"/><Relationship Id="rId286" Type="http://schemas.openxmlformats.org/officeDocument/2006/relationships/hyperlink" Target="https://www.sec.gov/Archives/edgar/data/0001468748/000119312518280419/d516071dex108.htm" TargetMode="External"/><Relationship Id="rId287" Type="http://schemas.openxmlformats.org/officeDocument/2006/relationships/hyperlink" Target="https://www.sec.gov/Archives/edgar/data/0001468748/000119312518280419/d516071dex109.htm" TargetMode="External"/><Relationship Id="rId289" Type="http://schemas.openxmlformats.org/officeDocument/2006/relationships/hyperlink" Target="https://www.sec.gov/Archives/edgar/data/0001468748/000119312518280419/d516071dex1010.htm" TargetMode="External"/><Relationship Id="rId290" Type="http://schemas.openxmlformats.org/officeDocument/2006/relationships/hyperlink" Target="https://www.sec.gov/Archives/edgar/data/0001468748/000119312518280419/d516071dex1011.htm" TargetMode="External"/><Relationship Id="rId291" Type="http://schemas.openxmlformats.org/officeDocument/2006/relationships/hyperlink" Target="https://www.sec.gov/Archives/edgar/data/0001468748/000119312518280419/d516071dex1012.htm" TargetMode="External"/><Relationship Id="rId292" Type="http://schemas.openxmlformats.org/officeDocument/2006/relationships/hyperlink" Target="https://www.sec.gov/Archives/edgar/data/0001468748/000119312518280419/d516071dex1013.htm" TargetMode="External"/><Relationship Id="rId293" Type="http://schemas.openxmlformats.org/officeDocument/2006/relationships/hyperlink" Target="https://www.sec.gov/Archives/edgar/data/0001468748/000119312518280419/d516071dex1014.htm" TargetMode="External"/><Relationship Id="rId294" Type="http://schemas.openxmlformats.org/officeDocument/2006/relationships/hyperlink" Target="https://www.sec.gov/Archives/edgar/data/0001468748/000119312518280419/d516071dex1015.htm" TargetMode="External"/><Relationship Id="rId295" Type="http://schemas.openxmlformats.org/officeDocument/2006/relationships/hyperlink" Target="https://www.sec.gov/Archives/edgar/data/1468748/000095017022002555/kod-ex10_16.htm" TargetMode="External"/><Relationship Id="rId296" Type="http://schemas.openxmlformats.org/officeDocument/2006/relationships/hyperlink" Target="https://www.sec.gov/Archives/edgar/data/0001468748/000119312519303683/d814017dex101.htm" TargetMode="External"/><Relationship Id="rId297" Type="http://schemas.openxmlformats.org/officeDocument/2006/relationships/hyperlink" Target="https://www.sec.gov/Archives/edgar/data/1468748/000156459020038897/kod-ex101_1339.htm" TargetMode="External"/><Relationship Id="rId298" Type="http://schemas.openxmlformats.org/officeDocument/2006/relationships/hyperlink" Target="https://www.sec.gov/Archives/edgar/data/1468748/000156459020038897/kod-ex102_1338.htm" TargetMode="External"/><Relationship Id="rId299" Type="http://schemas.openxmlformats.org/officeDocument/2006/relationships/hyperlink" Target="https://www.sec.gov/Archives/edgar/data/0001468748/000119312520296971/d61630dex11.htm" TargetMode="External"/><Relationship Id="rId304" Type="http://schemas.openxmlformats.org/officeDocument/2006/relationships/hyperlink" Target="https://www.sec.gov/Archives/edgar/data/0001468748/000095017021000510/kod-20210721ex10_1.htm" TargetMode="External"/><Relationship Id="rId305" Type="http://schemas.openxmlformats.org/officeDocument/2006/relationships/hyperlink" Target="https://www.sec.gov/Archives/edgar/data/1468748/000095017021003800/kod-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2023-03-28T16:56:31Z</dcterms:created>
  <dcterms:modified xsi:type="dcterms:W3CDTF">2023-03-28T16:56:31Z</dcterms:modified>
</cp:coreProperties>
</file>