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30930.htm"/>
      <w:bookmarkStart w:id="1" w:name="kskod20230930"/>
      <w:bookmarkEnd w:id="0"/>
      <w:bookmarkEnd w:id="1"/>
      <w:r>
        <w:rPr/>
        <w:t> </w:t>
      </w:r>
    </w:p>
    <w:p>
      <w:pPr>
        <w:pStyle w:val="TextBody"/>
        <w:pBdr>
          <w:bottom w:val="double" w:sz="6"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001-38682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KODIAK 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27-0476525</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1200 Page Mill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Palo Alto, CA</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18"/>
        </w:rPr>
        <w:t>(650) 281-0850</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left"/>
        <w:rPr/>
      </w:pPr>
      <w:r>
        <w:rPr/>
        <w:t> </w:t>
      </w:r>
    </w:p>
    <w:tbl>
      <w:tblPr>
        <w:tblW w:w="7608" w:type="dxa"/>
        <w:jc w:val="left"/>
        <w:tblInd w:w="0" w:type="dxa"/>
        <w:tblLayout w:type="fixed"/>
        <w:tblCellMar>
          <w:top w:w="28" w:type="dxa"/>
          <w:left w:w="28" w:type="dxa"/>
          <w:bottom w:w="28" w:type="dxa"/>
          <w:right w:w="28" w:type="dxa"/>
        </w:tblCellMar>
      </w:tblPr>
      <w:tblGrid>
        <w:gridCol w:w="2566"/>
        <w:gridCol w:w="1561"/>
        <w:gridCol w:w="3481"/>
      </w:tblGrid>
      <w:tr>
        <w:trPr/>
        <w:tc>
          <w:tcPr>
            <w:tcW w:w="256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56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5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b w:val="false"/>
                <w:color w:val="000000"/>
                <w:sz w:val="18"/>
              </w:rPr>
            </w:pPr>
            <w:r>
              <w:rPr>
                <w:rFonts w:ascii="Times New Roman" w:hAnsi="Times New Roman"/>
                <w:b w:val="false"/>
                <w:color w:val="000000"/>
                <w:sz w:val="18"/>
              </w:rPr>
              <w:t>Common stock, par value $0.0001</w:t>
            </w:r>
          </w:p>
        </w:tc>
        <w:tc>
          <w:tcPr>
            <w:tcW w:w="156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b w:val="false"/>
                <w:color w:val="000000"/>
                <w:sz w:val="18"/>
              </w:rPr>
            </w:pPr>
            <w:r>
              <w:rPr>
                <w:rFonts w:ascii="Times New Roman" w:hAnsi="Times New Roman"/>
                <w:b w:val="false"/>
                <w:color w:val="000000"/>
                <w:sz w:val="18"/>
              </w:rPr>
              <w:t>KOD</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5"/>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val="false"/>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5"/>
        </w:rPr>
        <w:t>No ☐</w:t>
      </w:r>
    </w:p>
    <w:p>
      <w:pPr>
        <w:pStyle w:val="TextBody"/>
        <w:bidi w:val="0"/>
        <w:jc w:val="left"/>
        <w:rPr/>
      </w:pPr>
      <w:r>
        <w:rPr/>
        <w:t> </w:t>
      </w:r>
    </w:p>
    <w:p>
      <w:pPr>
        <w:pStyle w:val="TextBody"/>
        <w:bidi w:val="0"/>
        <w:jc w:val="left"/>
        <w:rPr>
          <w:rFonts w:ascii="Times New Roman" w:hAnsi="Times New Roman"/>
          <w:b w:val="false"/>
          <w:color w:val="000000"/>
          <w:sz w:val="15"/>
        </w:rPr>
      </w:pPr>
      <w:r>
        <w:rPr>
          <w:rFonts w:ascii="Times New Roman" w:hAnsi="Times New Roman"/>
          <w:b w:val="false"/>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1901"/>
        <w:gridCol w:w="806"/>
        <w:gridCol w:w="2231"/>
        <w:gridCol w:w="851"/>
      </w:tblGrid>
      <w:tr>
        <w:trPr/>
        <w:tc>
          <w:tcPr>
            <w:tcW w:w="19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901" w:type="dxa"/>
            <w:tcBorders/>
            <w:vAlign w:val="center"/>
          </w:tcPr>
          <w:p>
            <w:pPr>
              <w:pStyle w:val="TableContents"/>
              <w:bidi w:val="0"/>
              <w:spacing w:before="0" w:after="283"/>
              <w:ind w:left="0" w:right="0" w:firstLine="490"/>
              <w:jc w:val="left"/>
              <w:rPr>
                <w:rFonts w:ascii="Times New Roman" w:hAnsi="Times New Roman"/>
                <w:b w:val="false"/>
                <w:color w:val="000000"/>
                <w:sz w:val="15"/>
              </w:rPr>
            </w:pPr>
            <w:r>
              <w:rPr>
                <w:rFonts w:ascii="Times New Roman" w:hAnsi="Times New Roman"/>
                <w:b w:val="false"/>
                <w:color w:val="000000"/>
                <w:sz w:val="15"/>
              </w:rPr>
              <w:t>Large accelerated filer</w:t>
            </w:r>
          </w:p>
        </w:tc>
        <w:tc>
          <w:tcPr>
            <w:tcW w:w="806" w:type="dxa"/>
            <w:tcBorders/>
            <w:vAlign w:val="center"/>
          </w:tcPr>
          <w:p>
            <w:pPr>
              <w:pStyle w:val="TableContents"/>
              <w:bidi w:val="0"/>
              <w:spacing w:before="0" w:after="283"/>
              <w:ind w:left="0" w:right="0" w:firstLine="490"/>
              <w:jc w:val="left"/>
              <w:rPr>
                <w:color w:val="000000"/>
              </w:rPr>
            </w:pPr>
            <w:r>
              <w:rPr>
                <w:color w:val="000000"/>
              </w:rPr>
              <w:t>☐</w:t>
            </w:r>
          </w:p>
        </w:tc>
        <w:tc>
          <w:tcPr>
            <w:tcW w:w="2231" w:type="dxa"/>
            <w:tcBorders/>
            <w:vAlign w:val="center"/>
          </w:tcPr>
          <w:p>
            <w:pPr>
              <w:pStyle w:val="TableContents"/>
              <w:bidi w:val="0"/>
              <w:spacing w:before="0" w:after="283"/>
              <w:ind w:left="0" w:right="0" w:firstLine="490"/>
              <w:jc w:val="left"/>
              <w:rPr>
                <w:rFonts w:ascii="Times New Roman" w:hAnsi="Times New Roman"/>
                <w:b w:val="false"/>
                <w:color w:val="000000"/>
                <w:sz w:val="15"/>
              </w:rPr>
            </w:pPr>
            <w:r>
              <w:rPr>
                <w:rFonts w:ascii="Times New Roman" w:hAnsi="Times New Roman"/>
                <w:b w:val="false"/>
                <w:color w:val="000000"/>
                <w:sz w:val="15"/>
              </w:rPr>
              <w:t>Accelerated filer</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r>
        <w:trPr/>
        <w:tc>
          <w:tcPr>
            <w:tcW w:w="1901" w:type="dxa"/>
            <w:tcBorders/>
            <w:vAlign w:val="center"/>
          </w:tcPr>
          <w:p>
            <w:pPr>
              <w:pStyle w:val="TableContents"/>
              <w:bidi w:val="0"/>
              <w:spacing w:before="0" w:after="283"/>
              <w:ind w:left="0" w:right="0" w:firstLine="490"/>
              <w:jc w:val="left"/>
              <w:rPr>
                <w:rFonts w:ascii="Times New Roman" w:hAnsi="Times New Roman"/>
                <w:b w:val="false"/>
                <w:color w:val="000000"/>
                <w:sz w:val="15"/>
              </w:rPr>
            </w:pPr>
            <w:r>
              <w:rPr>
                <w:rFonts w:ascii="Times New Roman" w:hAnsi="Times New Roman"/>
                <w:b w:val="false"/>
                <w:color w:val="000000"/>
                <w:sz w:val="15"/>
              </w:rPr>
              <w:t>Non-accelerated filer</w:t>
            </w:r>
          </w:p>
        </w:tc>
        <w:tc>
          <w:tcPr>
            <w:tcW w:w="806" w:type="dxa"/>
            <w:tcBorders/>
            <w:vAlign w:val="center"/>
          </w:tcPr>
          <w:p>
            <w:pPr>
              <w:pStyle w:val="TableContents"/>
              <w:bidi w:val="0"/>
              <w:spacing w:before="0" w:after="283"/>
              <w:ind w:left="0" w:right="0" w:firstLine="490"/>
              <w:jc w:val="left"/>
              <w:rPr>
                <w:color w:val="000000"/>
              </w:rPr>
            </w:pPr>
            <w:r>
              <w:rPr>
                <w:color w:val="000000"/>
              </w:rPr>
              <w:t>☒</w:t>
            </w:r>
          </w:p>
        </w:tc>
        <w:tc>
          <w:tcPr>
            <w:tcW w:w="2231" w:type="dxa"/>
            <w:tcBorders/>
            <w:vAlign w:val="center"/>
          </w:tcPr>
          <w:p>
            <w:pPr>
              <w:pStyle w:val="TableContents"/>
              <w:bidi w:val="0"/>
              <w:spacing w:before="0" w:after="283"/>
              <w:ind w:left="0" w:right="0" w:firstLine="490"/>
              <w:jc w:val="left"/>
              <w:rPr>
                <w:rFonts w:ascii="Times New Roman" w:hAnsi="Times New Roman"/>
                <w:b w:val="false"/>
                <w:color w:val="000000"/>
                <w:sz w:val="15"/>
              </w:rPr>
            </w:pPr>
            <w:r>
              <w:rPr>
                <w:rFonts w:ascii="Times New Roman" w:hAnsi="Times New Roman"/>
                <w:b w:val="false"/>
                <w:color w:val="000000"/>
                <w:sz w:val="15"/>
              </w:rPr>
              <w:t>Smaller reporting company</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r>
        <w:trPr/>
        <w:tc>
          <w:tcPr>
            <w:tcW w:w="1901" w:type="dxa"/>
            <w:tcBorders/>
            <w:vAlign w:val="center"/>
          </w:tcPr>
          <w:p>
            <w:pPr>
              <w:pStyle w:val="TableContents"/>
              <w:bidi w:val="0"/>
              <w:spacing w:before="0" w:after="283"/>
              <w:ind w:left="0" w:right="0" w:firstLine="490"/>
              <w:jc w:val="left"/>
              <w:rPr>
                <w:sz w:val="4"/>
                <w:szCs w:val="4"/>
              </w:rPr>
            </w:pPr>
            <w:r>
              <w:rPr>
                <w:sz w:val="4"/>
                <w:szCs w:val="4"/>
              </w:rPr>
            </w:r>
          </w:p>
        </w:tc>
        <w:tc>
          <w:tcPr>
            <w:tcW w:w="806" w:type="dxa"/>
            <w:tcBorders/>
            <w:vAlign w:val="center"/>
          </w:tcPr>
          <w:p>
            <w:pPr>
              <w:pStyle w:val="TableContents"/>
              <w:bidi w:val="0"/>
              <w:spacing w:before="0" w:after="283"/>
              <w:ind w:left="0" w:right="0" w:firstLine="490"/>
              <w:jc w:val="left"/>
              <w:rPr>
                <w:sz w:val="4"/>
                <w:szCs w:val="4"/>
              </w:rPr>
            </w:pPr>
            <w:r>
              <w:rPr>
                <w:sz w:val="4"/>
                <w:szCs w:val="4"/>
              </w:rPr>
            </w:r>
          </w:p>
        </w:tc>
        <w:tc>
          <w:tcPr>
            <w:tcW w:w="2231" w:type="dxa"/>
            <w:tcBorders/>
            <w:vAlign w:val="center"/>
          </w:tcPr>
          <w:p>
            <w:pPr>
              <w:pStyle w:val="TableContents"/>
              <w:bidi w:val="0"/>
              <w:spacing w:before="0" w:after="283"/>
              <w:ind w:left="0" w:right="0" w:firstLine="490"/>
              <w:jc w:val="left"/>
              <w:rPr>
                <w:rFonts w:ascii="Times New Roman" w:hAnsi="Times New Roman"/>
                <w:b w:val="false"/>
                <w:color w:val="000000"/>
                <w:sz w:val="15"/>
              </w:rPr>
            </w:pPr>
            <w:r>
              <w:rPr>
                <w:rFonts w:ascii="Times New Roman" w:hAnsi="Times New Roman"/>
                <w:b w:val="false"/>
                <w:color w:val="000000"/>
                <w:sz w:val="15"/>
              </w:rPr>
              <w:t>Emerging growth company</w:t>
            </w:r>
          </w:p>
        </w:tc>
        <w:tc>
          <w:tcPr>
            <w:tcW w:w="851" w:type="dxa"/>
            <w:tcBorders/>
            <w:vAlign w:val="center"/>
          </w:tcPr>
          <w:p>
            <w:pPr>
              <w:pStyle w:val="TableContents"/>
              <w:bidi w:val="0"/>
              <w:spacing w:before="0" w:after="283"/>
              <w:ind w:left="0" w:right="0" w:firstLine="490"/>
              <w:jc w:val="left"/>
              <w:rPr>
                <w:color w:val="000000"/>
              </w:rPr>
            </w:pPr>
            <w:r>
              <w:rPr>
                <w:color w:val="000000"/>
              </w:rPr>
              <w:t>☐</w:t>
            </w:r>
          </w:p>
        </w:tc>
      </w:tr>
    </w:tbl>
    <w:p>
      <w:pPr>
        <w:pStyle w:val="TextBody"/>
        <w:bidi w:val="0"/>
        <w:jc w:val="left"/>
        <w:rPr>
          <w:rFonts w:ascii="Times New Roman" w:hAnsi="Times New Roman"/>
          <w:b w:val="false"/>
          <w:color w:val="000000"/>
          <w:sz w:val="15"/>
        </w:rPr>
      </w:pPr>
      <w:r>
        <w:rPr>
          <w:rFonts w:ascii="Times New Roman" w:hAnsi="Times New Roman"/>
          <w:b w:val="false"/>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5"/>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5"/>
        </w:rPr>
        <w:t>As of October 31, 2023, the registrant had 52,472,291</w:t>
      </w:r>
      <w:r>
        <w:rPr>
          <w:rFonts w:ascii="Times New Roman" w:hAnsi="Times New Roman"/>
          <w:color w:val="000000"/>
          <w:sz w:val="20"/>
        </w:rPr>
        <w:t xml:space="preserve"> </w:t>
      </w:r>
      <w:r>
        <w:rPr>
          <w:rFonts w:ascii="Times New Roman" w:hAnsi="Times New Roman"/>
          <w:b w:val="false"/>
          <w:color w:val="000000"/>
          <w:sz w:val="15"/>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Quarterly Report.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portfolio of clinical trials planned for submission in our Biologics License Application, or BLA, of tarcocimab tedromer (formerly KSI-301, also known as tarcocimab);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progress, results and costs of developing any product candidates we have or may develop,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size and design of clinical trials that regulatory authorities may require to obtain marketing approval, including the order and number of clinical studies required to support a BLA in retinal vein occlusion, or RVO, non-proliferative diabetic retinopathy, or NPDR, and wet age-related macular degeneration, or wet AMD, or any of our current or future product candidates, including the sufficiency of a single additional pivotal study of tarcocimab tedromer and a single BLA for wet AMD, RVO and NPDR 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enhancements and benefits of new formulations of tarcocimab, KSI-501 or other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or likelihood of regulatory filings and approvals, including the potential to achieve FDA approval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plans and ability to establish sales, marketing and distribution infrastructure to commercialize any product candidates for which we obtain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our ability to enter into manufacturing-related commitments,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future agreements with third parties in connection with the commercialization of our product candidates;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expected potential benefits of strategic collaboration agreements and our ability to attract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the unfavorable U.S. and global economic conditions on our business and operations, the business and operations of our collaborators, and on the global economy;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aspirational goals and objectives related to our human capital resources and workforce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attract and retain key managerial,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accuracy of our estimates regarding the sufficiency of our cash resources, expenses, future revenue, capital requirements and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financial performance.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SELECTED RISKS AFFECTING OUR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Investing in our common stock involves numerous risks, including the risks described in “Part II—Other Information, Item 1A.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significant net losses in each period since our inception and anticipate that we will continue to incur significant and increasing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prospects are heavily dependent on our tarcocimab and KSI-501 product candidates, which are currently in clinical development for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failure of pivotal studies of tarcocimab to meet their primary efficacy endpoints may lead us to pause or discontinue development of other product candidates based on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plan for the development of tarcocimab may be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encounter substantial delays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fail to obtain additional financing, we may be unable to complete the development and, if approved, commercialization of our product candidates.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547" w:type="dxa"/>
        <w:jc w:val="left"/>
        <w:tblInd w:w="0" w:type="dxa"/>
        <w:tblLayout w:type="fixed"/>
        <w:tblCellMar>
          <w:top w:w="28" w:type="dxa"/>
          <w:left w:w="28" w:type="dxa"/>
          <w:bottom w:w="28" w:type="dxa"/>
          <w:right w:w="28" w:type="dxa"/>
        </w:tblCellMar>
      </w:tblPr>
      <w:tblGrid>
        <w:gridCol w:w="1025"/>
        <w:gridCol w:w="8011"/>
        <w:gridCol w:w="511"/>
      </w:tblGrid>
      <w:tr>
        <w:trPr/>
        <w:tc>
          <w:tcPr>
            <w:tcW w:w="1025"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b w:val="false"/>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b w:val="false"/>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b w:val="false"/>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4</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b w:val="false"/>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r>
      <w:tr>
        <w:trPr/>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864"/>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730" w:type="dxa"/>
        <w:jc w:val="left"/>
        <w:tblInd w:w="0" w:type="dxa"/>
        <w:tblLayout w:type="fixed"/>
        <w:tblCellMar>
          <w:top w:w="28" w:type="dxa"/>
          <w:left w:w="28" w:type="dxa"/>
          <w:bottom w:w="28" w:type="dxa"/>
          <w:right w:w="28" w:type="dxa"/>
        </w:tblCellMar>
      </w:tblPr>
      <w:tblGrid>
        <w:gridCol w:w="6096"/>
        <w:gridCol w:w="146"/>
        <w:gridCol w:w="229"/>
        <w:gridCol w:w="1076"/>
        <w:gridCol w:w="166"/>
        <w:gridCol w:w="146"/>
        <w:gridCol w:w="232"/>
        <w:gridCol w:w="1028"/>
        <w:gridCol w:w="611"/>
      </w:tblGrid>
      <w:tr>
        <w:trPr/>
        <w:tc>
          <w:tcPr>
            <w:tcW w:w="6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sz w:val="4"/>
                <w:szCs w:val="4"/>
              </w:rPr>
            </w:pPr>
            <w:r>
              <w:rPr>
                <w:sz w:val="4"/>
                <w:szCs w:val="4"/>
              </w:rPr>
            </w:r>
          </w:p>
        </w:tc>
        <w:tc>
          <w:tcPr>
            <w:tcW w:w="611" w:type="dxa"/>
            <w:tcBorders/>
            <w:shd w:fill="CFF0FC" w:val="clear"/>
            <w:vAlign w:val="center"/>
          </w:tcPr>
          <w:p>
            <w:pPr>
              <w:pStyle w:val="TableContents"/>
              <w:bidi w:val="0"/>
              <w:spacing w:before="0" w:after="283"/>
              <w:jc w:val="righ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190,433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288,500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486,005</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6,324</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56,384</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59,369</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58,546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666,628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33,440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52,496</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liability, net of current portion</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77,807</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Liability related to sale of future royalties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99,996</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230,461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7)</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10,000,000</w:t>
            </w:r>
            <w:r>
              <w:rPr>
                <w:rFonts w:ascii="Times New Roman" w:hAnsi="Times New Roman"/>
                <w:color w:val="000000"/>
                <w:sz w:val="20"/>
              </w:rPr>
              <w:t> </w:t>
            </w:r>
            <w:r>
              <w:rPr>
                <w:rFonts w:ascii="Times New Roman" w:hAnsi="Times New Roman"/>
                <w:b w:val="false"/>
                <w:color w:val="000000"/>
                <w:sz w:val="20"/>
              </w:rPr>
              <w:t>shares authorized;</w:t>
              <w:br/>
              <w:t>   0</w:t>
            </w:r>
            <w:r>
              <w:rPr>
                <w:rFonts w:ascii="Times New Roman" w:hAnsi="Times New Roman"/>
                <w:color w:val="000000"/>
                <w:sz w:val="20"/>
              </w:rPr>
              <w:t> </w:t>
            </w:r>
            <w:r>
              <w:rPr>
                <w:rFonts w:ascii="Times New Roman" w:hAnsi="Times New Roman"/>
                <w:b w:val="false"/>
                <w:color w:val="000000"/>
                <w:sz w:val="20"/>
              </w:rPr>
              <w:t xml:space="preserve">shares issued and outstanding at September 30, 2023 and </w:t>
              <w:br/>
              <w:t>   December 31, 2022, respectively</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490,000,000</w:t>
            </w:r>
            <w:r>
              <w:rPr>
                <w:rFonts w:ascii="Times New Roman" w:hAnsi="Times New Roman"/>
                <w:color w:val="000000"/>
                <w:sz w:val="20"/>
              </w:rPr>
              <w:t> </w:t>
            </w:r>
            <w:r>
              <w:rPr>
                <w:rFonts w:ascii="Times New Roman" w:hAnsi="Times New Roman"/>
                <w:b w:val="false"/>
                <w:color w:val="000000"/>
                <w:sz w:val="20"/>
              </w:rPr>
              <w:t xml:space="preserve">shares authorized </w:t>
              <w:br/>
              <w:t>   at September 30, 2023 and December 31, 2022; 52,467,291</w:t>
            </w:r>
            <w:r>
              <w:rPr>
                <w:rFonts w:ascii="Times New Roman" w:hAnsi="Times New Roman"/>
                <w:color w:val="000000"/>
                <w:sz w:val="20"/>
              </w:rPr>
              <w:t> </w:t>
            </w:r>
            <w:r>
              <w:rPr>
                <w:rFonts w:ascii="Times New Roman" w:hAnsi="Times New Roman"/>
                <w:b w:val="false"/>
                <w:color w:val="000000"/>
                <w:sz w:val="20"/>
              </w:rPr>
              <w:t xml:space="preserve">and </w:t>
              <w:br/>
              <w:t>   52,333,850</w:t>
            </w:r>
            <w:r>
              <w:rPr>
                <w:rFonts w:ascii="Times New Roman" w:hAnsi="Times New Roman"/>
                <w:color w:val="000000"/>
                <w:sz w:val="20"/>
              </w:rPr>
              <w:t> </w:t>
            </w:r>
            <w:r>
              <w:rPr>
                <w:rFonts w:ascii="Times New Roman" w:hAnsi="Times New Roman"/>
                <w:b w:val="false"/>
                <w:color w:val="000000"/>
                <w:sz w:val="20"/>
              </w:rPr>
              <w:t xml:space="preserve">shares issued and outstanding at September 30, 2023 and </w:t>
              <w:br/>
              <w:t>   December 31, 2022, respectively</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611" w:type="dxa"/>
            <w:tcBorders/>
            <w:shd w:fill="CFF0FC" w:val="cle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1,395,427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1,329,509</w:t>
            </w:r>
          </w:p>
        </w:tc>
        <w:tc>
          <w:tcPr>
            <w:tcW w:w="611" w:type="dxa"/>
            <w:tcBorders/>
            <w:shd w:fill="FFFFFF" w:val="cle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(892,040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9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436,167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666,628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611" w:type="dxa"/>
            <w:tcBorders/>
            <w:shd w:fill="FFFFFF" w:val="cle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211,597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267,313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(213,947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(267,313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(200,975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(263,375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Weighted-average shares of common stock outstanding used </w:t>
              <w:br/>
              <w:t>   in computing 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52,455,620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52,288,257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52,391,083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52,227,072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35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Change in unrealized gains (losses) related to available-for-sale </w:t>
              <w:br/>
              <w:t>   debt securities,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(265,880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641" w:type="dxa"/>
        <w:jc w:val="left"/>
        <w:tblInd w:w="0" w:type="dxa"/>
        <w:tblLayout w:type="fixed"/>
        <w:tblCellMar>
          <w:top w:w="28" w:type="dxa"/>
          <w:left w:w="28" w:type="dxa"/>
          <w:bottom w:w="28" w:type="dxa"/>
          <w:right w:w="28" w:type="dxa"/>
        </w:tblCellMar>
      </w:tblPr>
      <w:tblGrid>
        <w:gridCol w:w="2406"/>
        <w:gridCol w:w="146"/>
        <w:gridCol w:w="146"/>
        <w:gridCol w:w="766"/>
        <w:gridCol w:w="146"/>
        <w:gridCol w:w="146"/>
        <w:gridCol w:w="196"/>
        <w:gridCol w:w="375"/>
        <w:gridCol w:w="146"/>
        <w:gridCol w:w="146"/>
        <w:gridCol w:w="181"/>
        <w:gridCol w:w="691"/>
        <w:gridCol w:w="146"/>
        <w:gridCol w:w="146"/>
        <w:gridCol w:w="279"/>
        <w:gridCol w:w="742"/>
        <w:gridCol w:w="151"/>
        <w:gridCol w:w="146"/>
        <w:gridCol w:w="181"/>
        <w:gridCol w:w="736"/>
        <w:gridCol w:w="151"/>
        <w:gridCol w:w="146"/>
        <w:gridCol w:w="219"/>
        <w:gridCol w:w="711"/>
        <w:gridCol w:w="396"/>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6" w:type="dxa"/>
            <w:tcBorders/>
            <w:shd w:fill="FFFFFF" w:val="clear"/>
            <w:vAlign w:val="center"/>
          </w:tcPr>
          <w:p>
            <w:pPr>
              <w:pStyle w:val="TableContents"/>
              <w:bidi w:val="0"/>
              <w:spacing w:before="0" w:after="283"/>
              <w:jc w:val="center"/>
              <w:rPr/>
            </w:pPr>
            <w:r>
              <w:rPr/>
              <w:t> </w:t>
            </w:r>
          </w:p>
        </w:tc>
      </w:tr>
      <w:tr>
        <w:trPr/>
        <w:tc>
          <w:tcPr>
            <w:tcW w:w="2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52,333,850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1,329,509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(1,307</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(892,040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436,167</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25,980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1,211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(70,780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(70,780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40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Balances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52,344,741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1,355,498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(962,820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392,587</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76,152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Issuance of common stock</w:t>
              <w:br/>
              <w:t xml:space="preserve">   pursuant to employee stock </w:t>
              <w:br/>
              <w:t>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25,840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25,801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96</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(80,188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(80,188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40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Balances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52,453,163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1,381,481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(1,043,008</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338,478</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13,946</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(50,007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(50,007</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40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Balances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52,467,291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1,395,427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(1,093,015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302,417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r>
      <w:tr>
        <w:trPr/>
        <w:tc>
          <w:tcPr>
            <w:tcW w:w="2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6" w:type="dxa"/>
            <w:tcBorders/>
            <w:shd w:fill="FFFFFF" w:val="clear"/>
            <w:vAlign w:val="center"/>
          </w:tcPr>
          <w:p>
            <w:pPr>
              <w:pStyle w:val="TableContents"/>
              <w:bidi w:val="0"/>
              <w:spacing w:before="0" w:after="283"/>
              <w:jc w:val="center"/>
              <w:rPr/>
            </w:pPr>
            <w:r>
              <w:rPr/>
              <w:t> </w:t>
            </w:r>
          </w:p>
        </w:tc>
      </w:tr>
      <w:tr>
        <w:trPr/>
        <w:tc>
          <w:tcPr>
            <w:tcW w:w="2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51,826,257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1,221,532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(558,217</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663,320</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1,678</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3,581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28,095</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(95,709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(95,709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40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Balances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51,939,881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1,251,305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(653,926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597,384</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74,148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Issuance of common stock</w:t>
              <w:br/>
              <w:t xml:space="preserve">   pursuant to employee stock </w:t>
              <w:br/>
              <w:t>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Stock-based compensation</w:t>
              <w:br/>
              <w:t>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25,978</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(1,869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(1,869</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(90,628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(90,628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40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Balances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52,024,621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1,277,349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(1,869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(744,554</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530,931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16,636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90</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 xml:space="preserve">Issuance of common stock upon </w:t>
              <w:br/>
              <w:t>   exercise of common stock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249,699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Stock-based compensation</w:t>
              <w:br/>
              <w: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26,182</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4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(636</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4"/>
              </w:rPr>
            </w:pPr>
            <w:r>
              <w:rPr>
                <w:rFonts w:ascii="Times New Roman" w:hAnsi="Times New Roman"/>
                <w:b w:val="false"/>
                <w:color w:val="000000"/>
                <w:sz w:val="14"/>
              </w:rPr>
              <w:t>)</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4"/>
              </w:rPr>
            </w:pPr>
            <w:r>
              <w:rPr>
                <w:rFonts w:ascii="Times New Roman" w:hAnsi="Times New Roman"/>
                <w:b w:val="false"/>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(77,038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(77,038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2406"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Balances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52,304,154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1,303,621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(821,592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479,529</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03"/>
        <w:gridCol w:w="252"/>
        <w:gridCol w:w="1006"/>
        <w:gridCol w:w="198"/>
        <w:gridCol w:w="174"/>
        <w:gridCol w:w="252"/>
        <w:gridCol w:w="1006"/>
        <w:gridCol w:w="814"/>
      </w:tblGrid>
      <w:tr>
        <w:trPr/>
        <w:tc>
          <w:tcPr>
            <w:tcW w:w="65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503" w:type="dxa"/>
            <w:tcBorders/>
            <w:shd w:fill="FFFFFF" w:val="clear"/>
            <w:vAlign w:val="center"/>
          </w:tcPr>
          <w:p>
            <w:pPr>
              <w:pStyle w:val="TableContents"/>
              <w:bidi w:val="0"/>
              <w:spacing w:before="0" w:after="283"/>
              <w:jc w:val="left"/>
              <w:rPr/>
            </w:pPr>
            <w:r>
              <w:rPr/>
              <w:t> </w:t>
            </w:r>
          </w:p>
        </w:tc>
        <w:tc>
          <w:tcPr>
            <w:tcW w:w="2888"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814" w:type="dxa"/>
            <w:tcBorders/>
            <w:shd w:fill="FFFFFF" w:val="clear"/>
            <w:vAlign w:val="center"/>
          </w:tcPr>
          <w:p>
            <w:pPr>
              <w:pStyle w:val="TableContents"/>
              <w:bidi w:val="0"/>
              <w:spacing w:before="0" w:after="283"/>
              <w:jc w:val="center"/>
              <w:rPr/>
            </w:pPr>
            <w:r>
              <w:rPr/>
              <w:t> </w:t>
            </w:r>
          </w:p>
        </w:tc>
      </w:tr>
      <w:tr>
        <w:trPr/>
        <w:tc>
          <w:tcPr>
            <w:tcW w:w="6503" w:type="dxa"/>
            <w:tcBorders/>
            <w:shd w:fill="FFFFFF" w:val="clear"/>
            <w:vAlign w:val="center"/>
          </w:tcPr>
          <w:p>
            <w:pPr>
              <w:pStyle w:val="TableContents"/>
              <w:bidi w:val="0"/>
              <w:spacing w:before="0" w:after="283"/>
              <w:jc w:val="left"/>
              <w:rPr/>
            </w:pPr>
            <w:r>
              <w:rPr/>
              <w:t> </w:t>
            </w:r>
          </w:p>
        </w:tc>
        <w:tc>
          <w:tcPr>
            <w:tcW w:w="12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8"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2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814"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258"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(200,975</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(263,375</w:t>
            </w:r>
          </w:p>
        </w:tc>
        <w:tc>
          <w:tcPr>
            <w:tcW w:w="8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provided by (used in) operating activities:</w:t>
            </w:r>
          </w:p>
        </w:tc>
        <w:tc>
          <w:tcPr>
            <w:tcW w:w="1258"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200"/>
              <w:jc w:val="right"/>
              <w:rPr/>
            </w:pPr>
            <w:r>
              <w:rPr/>
              <w:t> </w:t>
            </w:r>
          </w:p>
        </w:tc>
      </w:tr>
      <w:tr>
        <w:trPr/>
        <w:tc>
          <w:tcPr>
            <w:tcW w:w="650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13,572</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2,234</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50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65,727</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80,255</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0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amortization (accretion) of premium (discount) on marketable securities</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w:t>
            </w:r>
          </w:p>
        </w:tc>
        <w:tc>
          <w:tcPr>
            <w:tcW w:w="8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Settlement of derivative contracts</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0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operating lease right-of-use asset</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5,711</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5,458</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50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issuance costs</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0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assets and liabilities:</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400"/>
              <w:jc w:val="right"/>
              <w:rPr/>
            </w:pPr>
            <w:r>
              <w:rPr/>
              <w:t> </w:t>
            </w:r>
          </w:p>
        </w:tc>
      </w:tr>
      <w:tr>
        <w:trPr/>
        <w:tc>
          <w:tcPr>
            <w:tcW w:w="650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6,994</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(2,939</w:t>
            </w:r>
          </w:p>
        </w:tc>
        <w:tc>
          <w:tcPr>
            <w:tcW w:w="8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assets</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7,198</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50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3,114</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7,089</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50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and other current liabilities</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(8,263</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5,401</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50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Operating lease liability</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(used in) operating activities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(121,944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(151,384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258"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258"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property and equipment</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(13,866</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(33,958</w:t>
            </w:r>
          </w:p>
        </w:tc>
        <w:tc>
          <w:tcPr>
            <w:tcW w:w="8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Deposits on property and equipment</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(7,787</w:t>
            </w:r>
          </w:p>
        </w:tc>
        <w:tc>
          <w:tcPr>
            <w:tcW w:w="8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marketable securities</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(49,347</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(427,766</w:t>
            </w:r>
          </w:p>
        </w:tc>
        <w:tc>
          <w:tcPr>
            <w:tcW w:w="8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Maturities of marketable securities</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340,000</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66,000</w:t>
            </w:r>
          </w:p>
        </w:tc>
        <w:tc>
          <w:tcPr>
            <w:tcW w:w="814" w:type="dxa"/>
            <w:tcBorders/>
            <w:shd w:fill="CFF0FC" w:val="cle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derivative activity</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277,024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(403,511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upon options exercise</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w:t>
            </w:r>
          </w:p>
        </w:tc>
        <w:tc>
          <w:tcPr>
            <w:tcW w:w="814" w:type="dxa"/>
            <w:tcBorders/>
            <w:shd w:fill="CFF0FC" w:val="cle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 of common stock pursuant to employee stock purchase plan</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814" w:type="dxa"/>
            <w:tcBorders/>
            <w:shd w:fill="FFFFFF" w:val="clear"/>
            <w:vAlign w:val="center"/>
          </w:tcPr>
          <w:p>
            <w:pPr>
              <w:pStyle w:val="TableContents"/>
              <w:bidi w:val="0"/>
              <w:spacing w:before="0" w:after="283"/>
              <w:jc w:val="lef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payments of tenant improvement allowance payable</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814"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2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9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1,798</w:t>
            </w:r>
          </w:p>
        </w:tc>
        <w:tc>
          <w:tcPr>
            <w:tcW w:w="81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cash equivalents and restricted cash</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155,235</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(553,097</w:t>
            </w:r>
          </w:p>
        </w:tc>
        <w:tc>
          <w:tcPr>
            <w:tcW w:w="8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beginning of period</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196,757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737,834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end of period</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351,992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184,737</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consolidated balance sheets</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345,668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178,413</w:t>
            </w:r>
          </w:p>
        </w:tc>
        <w:tc>
          <w:tcPr>
            <w:tcW w:w="814" w:type="dxa"/>
            <w:tcBorders/>
            <w:shd w:fill="CFF0FC" w:val="cle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in consolidated balance sheets</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351,992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184,737</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information:</w:t>
            </w:r>
          </w:p>
        </w:tc>
        <w:tc>
          <w:tcPr>
            <w:tcW w:w="1258"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258"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 obtained in exchange for operating lease liability</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8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property and equipment under accounts payable and accruals</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27,465</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4,320</w:t>
            </w:r>
          </w:p>
        </w:tc>
        <w:tc>
          <w:tcPr>
            <w:tcW w:w="8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Kodiak Sciences Inc. (the “Company”) is a clinical stage biopharmaceutical company committed to researching, developing and commercializing transformative therapeutics to treat high prevalence retinal diseases.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had cash and cash equivalents of $345.7</w:t>
      </w:r>
      <w:r>
        <w:rPr>
          <w:rFonts w:ascii="Times New Roman" w:hAnsi="Times New Roman"/>
          <w:color w:val="000000"/>
          <w:sz w:val="20"/>
        </w:rPr>
        <w:t xml:space="preserve"> </w:t>
      </w:r>
      <w:r>
        <w:rPr>
          <w:rFonts w:ascii="Times New Roman" w:hAnsi="Times New Roman"/>
          <w:b w:val="false"/>
          <w:color w:val="000000"/>
          <w:sz w:val="20"/>
        </w:rPr>
        <w:t>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Quarterly Report on Form 10-Q.</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condensed consolidated financial statements have been prepared on a basis substantially consistent with, and should be read in conjunction with the audited financial statements for the year ended December 31, 2022 and notes thereto, the Company’s Annual Report on Form 10-K filed with the Securities and Exchange Commission (“SEC”) on March 28, 2023.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2023, or for any future period.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condensed consolidated financial statements reflect the operations of the Company and its wholly owned subsidiaries. All intercompany accounts and transactions have been eliminated.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Reclassification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Certain prior period amounts in the consolidated financial statements have been reclassified to conform to the current period presentation.</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and stock-based compensation.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reviews long-lived assets for impairment whenever events or changes in circumstances indicate that the carrying amounts of the assets may not be recoverable. Recoverability is measured by comparison of the carrying amount of the assets to the estimated undiscounted net cash flows which the assets are expected to generate. If such assets are deemed not recoverable, an impairment loss is recognized in the amount by which the carrying amount of the assets exceeds the estimated fair value of the assets. For the three months ended September 30, 2023, the Company assessed the recoverability of its long-lived assets based on the Company’s decision to wind-down the tarcocimab program following the topline results from the Phase 3 GLEAM and GLIMMER studies. The Company determined that the estimated undiscounted net cash flows which the assets are forecasted to generate exceeded the carrying amount of the assets. Therefore, no impairment loss was recognized in the period.</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Global economic and business activities continue to face widespread macroeconomic uncertainties, including health epidemics, labor shortages, bank failures, inflation and monetary supply shifts,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significant accounting policies used in preparation of these condensed consolidated financial statements for the three and nine months ended September 30, 2023, are consistent with those discussed in Note 2 to the consolidated financial statements in the Company’s Annual Report on Form 10-K for the year ended December 31, 2022, except as noted below within the “Recent Accounting Pronouncements” section.</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new accounting pronouncements are issued by the Financial Accounting Standards Board ("FASB"), under its Accounting Standards Codification ("ASC") or other standard setting bodies and adopted by the Company as of the specified effective date. There have been no new accounting pronouncements issued nor adopted during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that are of significance to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3.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Accrued and other current liabilities consist of the following (in thousands):</w:t>
      </w:r>
      <w:r>
        <w:rPr>
          <w:rFonts w:ascii="Times New Roman" w:hAnsi="Times New Roman"/>
          <w:color w:val="000000"/>
          <w:sz w:val="20"/>
        </w:rPr>
        <w:t xml:space="preserve"> </w:t>
      </w:r>
    </w:p>
    <w:p>
      <w:pPr>
        <w:pStyle w:val="TextBody"/>
        <w:bidi w:val="0"/>
        <w:jc w:val="left"/>
        <w:rPr/>
      </w:pPr>
      <w:r>
        <w:rPr/>
        <w:t> </w:t>
      </w:r>
    </w:p>
    <w:tbl>
      <w:tblPr>
        <w:tblW w:w="8025" w:type="dxa"/>
        <w:jc w:val="left"/>
        <w:tblInd w:w="0" w:type="dxa"/>
        <w:tblLayout w:type="fixed"/>
        <w:tblCellMar>
          <w:top w:w="28" w:type="dxa"/>
          <w:left w:w="28" w:type="dxa"/>
          <w:bottom w:w="28" w:type="dxa"/>
          <w:right w:w="28" w:type="dxa"/>
        </w:tblCellMar>
      </w:tblPr>
      <w:tblGrid>
        <w:gridCol w:w="4831"/>
        <w:gridCol w:w="146"/>
        <w:gridCol w:w="310"/>
        <w:gridCol w:w="995"/>
        <w:gridCol w:w="146"/>
        <w:gridCol w:w="146"/>
        <w:gridCol w:w="299"/>
        <w:gridCol w:w="961"/>
        <w:gridCol w:w="1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clinical trial and related costs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18,334</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manufacturing and research &amp; development costs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5,978</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salaries and benefits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6,033</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legal fees and professional fees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w:t>
            </w:r>
          </w:p>
        </w:tc>
        <w:tc>
          <w:tcPr>
            <w:tcW w:w="1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property and equipment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1,893</w:t>
            </w:r>
          </w:p>
        </w:tc>
        <w:tc>
          <w:tcPr>
            <w:tcW w:w="1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other liabilities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present the Company’s fair value hierarchy for assets measured at fair value on a recurring basis (in thousands):</w:t>
      </w:r>
      <w:r>
        <w:rPr>
          <w:rFonts w:ascii="Times New Roman" w:hAnsi="Times New Roman"/>
          <w:color w:val="000000"/>
          <w:sz w:val="20"/>
        </w:rPr>
        <w:t xml:space="preserve"> </w:t>
      </w:r>
    </w:p>
    <w:p>
      <w:pPr>
        <w:pStyle w:val="TextBody"/>
        <w:bidi w:val="0"/>
        <w:jc w:val="left"/>
        <w:rPr/>
      </w:pPr>
      <w:r>
        <w:rPr/>
        <w:t> </w:t>
      </w:r>
    </w:p>
    <w:tbl>
      <w:tblPr>
        <w:tblW w:w="7075" w:type="dxa"/>
        <w:jc w:val="left"/>
        <w:tblInd w:w="0" w:type="dxa"/>
        <w:tblLayout w:type="fixed"/>
        <w:tblCellMar>
          <w:top w:w="28" w:type="dxa"/>
          <w:left w:w="28" w:type="dxa"/>
          <w:bottom w:w="28" w:type="dxa"/>
          <w:right w:w="28" w:type="dxa"/>
        </w:tblCellMar>
      </w:tblPr>
      <w:tblGrid>
        <w:gridCol w:w="2051"/>
        <w:gridCol w:w="146"/>
        <w:gridCol w:w="211"/>
        <w:gridCol w:w="781"/>
        <w:gridCol w:w="146"/>
        <w:gridCol w:w="146"/>
        <w:gridCol w:w="211"/>
        <w:gridCol w:w="781"/>
        <w:gridCol w:w="146"/>
        <w:gridCol w:w="146"/>
        <w:gridCol w:w="277"/>
        <w:gridCol w:w="458"/>
        <w:gridCol w:w="146"/>
        <w:gridCol w:w="146"/>
        <w:gridCol w:w="211"/>
        <w:gridCol w:w="781"/>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331,478</w:t>
            </w:r>
          </w:p>
        </w:tc>
        <w:tc>
          <w:tcPr>
            <w:tcW w:w="291" w:type="dxa"/>
            <w:tcBorders/>
            <w:shd w:fill="FFFFFF" w:val="clear"/>
            <w:vAlign w:val="center"/>
          </w:tcPr>
          <w:p>
            <w:pPr>
              <w:pStyle w:val="TableContents"/>
              <w:bidi w:val="0"/>
              <w:spacing w:before="0" w:after="283"/>
              <w:jc w:val="left"/>
              <w:rPr/>
            </w:pPr>
            <w:r>
              <w:rPr/>
              <w:t> </w:t>
            </w:r>
          </w:p>
        </w:tc>
      </w:tr>
      <w:tr>
        <w:trPr/>
        <w:tc>
          <w:tcPr>
            <w:tcW w:w="2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05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331,478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331,478</w:t>
            </w:r>
          </w:p>
        </w:tc>
        <w:tc>
          <w:tcPr>
            <w:tcW w:w="2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05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173,617</w:t>
            </w:r>
          </w:p>
        </w:tc>
        <w:tc>
          <w:tcPr>
            <w:tcW w:w="291" w:type="dxa"/>
            <w:tcBorders/>
            <w:shd w:fill="CFF0FC" w:val="clear"/>
            <w:vAlign w:val="center"/>
          </w:tcPr>
          <w:p>
            <w:pPr>
              <w:pStyle w:val="TableContents"/>
              <w:bidi w:val="0"/>
              <w:spacing w:before="0" w:after="283"/>
              <w:jc w:val="left"/>
              <w:rPr/>
            </w:pPr>
            <w:r>
              <w:rPr/>
              <w:t> </w:t>
            </w:r>
          </w:p>
        </w:tc>
      </w:tr>
      <w:tr>
        <w:trPr/>
        <w:tc>
          <w:tcPr>
            <w:tcW w:w="2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05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288,500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05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173,617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288,500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462,117</w:t>
            </w:r>
          </w:p>
        </w:tc>
        <w:tc>
          <w:tcPr>
            <w:tcW w:w="2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240" w:after="283"/>
        <w:jc w:val="left"/>
        <w:rPr>
          <w:rFonts w:ascii="Times New Roman" w:hAnsi="Times New Roman"/>
          <w:sz w:val="20"/>
        </w:rPr>
      </w:pPr>
      <w:r>
        <w:rPr>
          <w:rFonts w:ascii="Times New Roman" w:hAnsi="Times New Roman"/>
          <w:b/>
          <w:color w:val="000000"/>
          <w:sz w:val="20"/>
        </w:rPr>
        <w:t>5.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Marketable securities are classified as available-for-sale. The Company obtains fair value measurement data from third party pricing services and understands the valuation methods and data sources to validate this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presents the Company's marketable securities by major security type (in thousands):</w:t>
      </w:r>
    </w:p>
    <w:p>
      <w:pPr>
        <w:pStyle w:val="TextBody"/>
        <w:bidi w:val="0"/>
        <w:jc w:val="left"/>
        <w:rPr/>
      </w:pPr>
      <w:r>
        <w:rPr/>
        <w:t> </w:t>
      </w:r>
    </w:p>
    <w:tbl>
      <w:tblPr>
        <w:tblW w:w="7509" w:type="dxa"/>
        <w:jc w:val="left"/>
        <w:tblInd w:w="0" w:type="dxa"/>
        <w:tblLayout w:type="fixed"/>
        <w:tblCellMar>
          <w:top w:w="28" w:type="dxa"/>
          <w:left w:w="28" w:type="dxa"/>
          <w:bottom w:w="28" w:type="dxa"/>
          <w:right w:w="28" w:type="dxa"/>
        </w:tblCellMar>
      </w:tblPr>
      <w:tblGrid>
        <w:gridCol w:w="2206"/>
        <w:gridCol w:w="146"/>
        <w:gridCol w:w="213"/>
        <w:gridCol w:w="793"/>
        <w:gridCol w:w="146"/>
        <w:gridCol w:w="146"/>
        <w:gridCol w:w="392"/>
        <w:gridCol w:w="644"/>
        <w:gridCol w:w="146"/>
        <w:gridCol w:w="146"/>
        <w:gridCol w:w="259"/>
        <w:gridCol w:w="777"/>
        <w:gridCol w:w="16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Gains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w:t>
              <w:br/>
              <w:t>Losses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288,500</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289,807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288,500</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there were no marketable securities. There were no reclassifications out of accumulated other comprehensive income (loss), impairment charges or recoveries and no allowance for credit losses recorded during the nine months ended September 30, 2023.</w:t>
      </w:r>
    </w:p>
    <w:p>
      <w:pPr>
        <w:pStyle w:val="TextBody"/>
        <w:bidi w:val="0"/>
        <w:spacing w:before="240" w:after="283"/>
        <w:jc w:val="left"/>
        <w:rPr>
          <w:rFonts w:ascii="Times New Roman" w:hAnsi="Times New Roman"/>
          <w:sz w:val="20"/>
        </w:rPr>
      </w:pPr>
      <w:r>
        <w:rPr>
          <w:rFonts w:ascii="Times New Roman" w:hAnsi="Times New Roman"/>
          <w:b/>
          <w:color w:val="000000"/>
          <w:sz w:val="20"/>
        </w:rPr>
        <w:t>6.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uses certain derivative instruments, that are not designated as hedges for accounting purposes, which include foreign currency forward contracts. As of September 30, 2023, the Company did not have any outstanding derivative instruments.</w:t>
      </w:r>
    </w:p>
    <w:p>
      <w:pPr>
        <w:pStyle w:val="TextBody"/>
        <w:bidi w:val="0"/>
        <w:spacing w:before="24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Ursus Facility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The manufacturing agreement has an initial term of eight years, and the Company has the right to extend the term up to a total of 16</w:t>
      </w:r>
      <w:r>
        <w:rPr>
          <w:rFonts w:ascii="Times New Roman" w:hAnsi="Times New Roman"/>
          <w:color w:val="000000"/>
          <w:sz w:val="20"/>
        </w:rPr>
        <w:t xml:space="preserve"> </w:t>
      </w:r>
      <w:r>
        <w:rPr>
          <w:rFonts w:ascii="Times New Roman" w:hAnsi="Times New Roman"/>
          <w:b w:val="false"/>
          <w:color w:val="000000"/>
          <w:sz w:val="20"/>
        </w:rPr>
        <w:t>years. The Company and Lonza each have the ability to terminate this agreement upon the occurrence of certain events.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expanded and finalized the design and scope of the antibody biopolymer conjugates manufacturing facility with a revised estimated capital contribution of approximately 75.0</w:t>
      </w:r>
      <w:r>
        <w:rPr>
          <w:rFonts w:ascii="Times New Roman" w:hAnsi="Times New Roman"/>
          <w:color w:val="000000"/>
          <w:sz w:val="20"/>
        </w:rPr>
        <w:t xml:space="preserve"> </w:t>
      </w:r>
      <w:r>
        <w:rPr>
          <w:rFonts w:ascii="Times New Roman" w:hAnsi="Times New Roman"/>
          <w:b w:val="false"/>
          <w:color w:val="000000"/>
          <w:sz w:val="20"/>
        </w:rPr>
        <w:t>million Swiss Francs. Over the period from 2022 through 2030, manufacturing payments totaling approximately 150.0</w:t>
      </w:r>
      <w:r>
        <w:rPr>
          <w:rFonts w:ascii="Times New Roman" w:hAnsi="Times New Roman"/>
          <w:color w:val="000000"/>
          <w:sz w:val="20"/>
        </w:rPr>
        <w:t xml:space="preserve"> </w:t>
      </w:r>
      <w:r>
        <w:rPr>
          <w:rFonts w:ascii="Times New Roman" w:hAnsi="Times New Roman"/>
          <w:b w:val="false"/>
          <w:color w:val="000000"/>
          <w:sz w:val="20"/>
        </w:rPr>
        <w:t>million Swiss Francs may be incurred for the potential clinical and commercial supply of tarcocimab and other antibody biopolymer conjugates medicines based on the amended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concluded that this agreement contained an embedded lease as the custom-built manufacturing suite would be dedicated for the Company’s use. On January 31, 2023, the custom-built manufacturing suite was commissioned as a cGMP facility. The consideration was allocated to lease and non-lease components as this agreement contained a significant service component (manufacturing services). The Company recognized an operating lease right-of-use asset and corresponding liability based on the present value of remaining lease payments discounted at the Company’s estimated incremental borrowing rate of 6.3% over the remaining lease term of 7.2</w:t>
      </w:r>
      <w:r>
        <w:rPr>
          <w:rFonts w:ascii="Times New Roman" w:hAnsi="Times New Roman"/>
          <w:color w:val="000000"/>
          <w:sz w:val="20"/>
        </w:rPr>
        <w:t xml:space="preserve"> </w:t>
      </w:r>
      <w:r>
        <w:rPr>
          <w:rFonts w:ascii="Times New Roman" w:hAnsi="Times New Roman"/>
          <w:b w:val="false"/>
          <w:color w:val="000000"/>
          <w:sz w:val="20"/>
        </w:rPr>
        <w:t>years. The Company determined that the renewal options were not reasonably certain at lease inception. The Company recognized $0.1</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as part of operating lease costs during the three and nine months ended September 30, 2023, respectively.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Fixed assets of approximately 75.0</w:t>
      </w:r>
      <w:r>
        <w:rPr>
          <w:rFonts w:ascii="Times New Roman" w:hAnsi="Times New Roman"/>
          <w:color w:val="000000"/>
          <w:sz w:val="20"/>
        </w:rPr>
        <w:t xml:space="preserve"> </w:t>
      </w:r>
      <w:r>
        <w:rPr>
          <w:rFonts w:ascii="Times New Roman" w:hAnsi="Times New Roman"/>
          <w:b w:val="false"/>
          <w:color w:val="000000"/>
          <w:sz w:val="20"/>
        </w:rPr>
        <w:t>million Swiss Francs, equivalent to $81.7</w:t>
      </w:r>
      <w:r>
        <w:rPr>
          <w:rFonts w:ascii="Times New Roman" w:hAnsi="Times New Roman"/>
          <w:color w:val="000000"/>
          <w:sz w:val="20"/>
        </w:rPr>
        <w:t xml:space="preserve"> </w:t>
      </w:r>
      <w:r>
        <w:rPr>
          <w:rFonts w:ascii="Times New Roman" w:hAnsi="Times New Roman"/>
          <w:b w:val="false"/>
          <w:color w:val="000000"/>
          <w:sz w:val="20"/>
        </w:rPr>
        <w:t>million, in leasehold improvements and machinery and equipment, were placed in service and capitalized as of January 31, 2023. As of September 30, 2023, $26.8</w:t>
      </w:r>
      <w:r>
        <w:rPr>
          <w:rFonts w:ascii="Times New Roman" w:hAnsi="Times New Roman"/>
          <w:color w:val="000000"/>
          <w:sz w:val="20"/>
        </w:rPr>
        <w:t xml:space="preserve"> </w:t>
      </w:r>
      <w:r>
        <w:rPr>
          <w:rFonts w:ascii="Times New Roman" w:hAnsi="Times New Roman"/>
          <w:b w:val="false"/>
          <w:color w:val="000000"/>
          <w:sz w:val="20"/>
        </w:rPr>
        <w:t>million of these fixed assets were unpaid and recorded under accounts payable on the condensed consolidated balance sheet.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Agreements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Funding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January 2023 and 2022, the number of shares of common stock available for issuance under the 2018 Equity Incentive Plan (the "2018 Plan") was increased by approximately 2.1</w:t>
      </w:r>
      <w:r>
        <w:rPr>
          <w:rFonts w:ascii="Times New Roman" w:hAnsi="Times New Roman"/>
          <w:color w:val="000000"/>
          <w:sz w:val="20"/>
        </w:rPr>
        <w:t xml:space="preserve"> </w:t>
      </w:r>
      <w:r>
        <w:rPr>
          <w:rFonts w:ascii="Times New Roman" w:hAnsi="Times New Roman"/>
          <w:b w:val="false"/>
          <w:color w:val="000000"/>
          <w:sz w:val="20"/>
        </w:rPr>
        <w:t>million shares in each period, as a result of the automatic increase provision in the 2018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Stock option activity, including stock options and performance-based stock options under the 2021 Long-Term Performance Incentive Plan (“2021 LTPIP”), 2018 Plan and 2015 Plan is summarized as follows: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2986"/>
        <w:gridCol w:w="146"/>
        <w:gridCol w:w="146"/>
        <w:gridCol w:w="1036"/>
        <w:gridCol w:w="166"/>
        <w:gridCol w:w="146"/>
        <w:gridCol w:w="247"/>
        <w:gridCol w:w="669"/>
        <w:gridCol w:w="146"/>
        <w:gridCol w:w="146"/>
        <w:gridCol w:w="268"/>
        <w:gridCol w:w="858"/>
        <w:gridCol w:w="146"/>
        <w:gridCol w:w="146"/>
        <w:gridCol w:w="343"/>
        <w:gridCol w:w="932"/>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16,542,107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5,410</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 or canceled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(1,190,462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18,629,117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Shares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Restricted share activity, including restricted stock awards, restricted stock units, and performance-based restricted stock units, under the 2018 Plan is summarized as follows:</w:t>
      </w:r>
    </w:p>
    <w:p>
      <w:pPr>
        <w:pStyle w:val="TextBody"/>
        <w:bidi w:val="0"/>
        <w:jc w:val="left"/>
        <w:rPr/>
      </w:pPr>
      <w:r>
        <w:rPr/>
        <w:t> </w:t>
      </w:r>
    </w:p>
    <w:tbl>
      <w:tblPr>
        <w:tblW w:w="5450" w:type="dxa"/>
        <w:jc w:val="left"/>
        <w:tblInd w:w="0" w:type="dxa"/>
        <w:tblLayout w:type="fixed"/>
        <w:tblCellMar>
          <w:top w:w="28" w:type="dxa"/>
          <w:left w:w="28" w:type="dxa"/>
          <w:bottom w:w="28" w:type="dxa"/>
          <w:right w:w="28" w:type="dxa"/>
        </w:tblCellMar>
      </w:tblPr>
      <w:tblGrid>
        <w:gridCol w:w="2746"/>
        <w:gridCol w:w="146"/>
        <w:gridCol w:w="148"/>
        <w:gridCol w:w="857"/>
        <w:gridCol w:w="166"/>
        <w:gridCol w:w="146"/>
        <w:gridCol w:w="283"/>
        <w:gridCol w:w="767"/>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Restricted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at December 31, 2022</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60.17</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w:t>
            </w:r>
          </w:p>
        </w:tc>
        <w:tc>
          <w:tcPr>
            <w:tcW w:w="19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63.59</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Canceled</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at September 30, 2023</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Stock-based compensation is classified in the condensed consolidated statements of operations and comprehensive loss as follows (in thousands):</w:t>
      </w:r>
      <w:r>
        <w:rPr>
          <w:rFonts w:ascii="Times New Roman" w:hAnsi="Times New Roman"/>
          <w:color w:val="000000"/>
          <w:sz w:val="20"/>
        </w:rPr>
        <w:t xml:space="preserve"> </w:t>
      </w:r>
    </w:p>
    <w:p>
      <w:pPr>
        <w:pStyle w:val="TextBody"/>
        <w:bidi w:val="0"/>
        <w:jc w:val="left"/>
        <w:rPr/>
      </w:pPr>
      <w:r>
        <w:rPr/>
        <w:t> </w:t>
      </w:r>
    </w:p>
    <w:tbl>
      <w:tblPr>
        <w:tblW w:w="7507"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676"/>
        <w:gridCol w:w="146"/>
        <w:gridCol w:w="146"/>
        <w:gridCol w:w="211"/>
        <w:gridCol w:w="676"/>
        <w:gridCol w:w="146"/>
        <w:gridCol w:w="146"/>
        <w:gridCol w:w="211"/>
        <w:gridCol w:w="676"/>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45,031</w:t>
            </w:r>
          </w:p>
        </w:tc>
        <w:tc>
          <w:tcPr>
            <w:tcW w:w="191" w:type="dxa"/>
            <w:tcBorders/>
            <w:shd w:fill="CFF0FC"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Net Loss per Common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common share equivalents were excluded from the computation of diluted net loss per common share for the periods presented because their inclusion would have been antidilutive:</w:t>
      </w:r>
      <w:r>
        <w:rPr>
          <w:rFonts w:ascii="Times New Roman" w:hAnsi="Times New Roman"/>
          <w:color w:val="000000"/>
          <w:sz w:val="20"/>
        </w:rPr>
        <w:t xml:space="preserve"> </w:t>
      </w:r>
    </w:p>
    <w:p>
      <w:pPr>
        <w:pStyle w:val="TextBody"/>
        <w:bidi w:val="0"/>
        <w:jc w:val="left"/>
        <w:rPr/>
      </w:pPr>
      <w:r>
        <w:rPr/>
        <w:t> </w:t>
      </w:r>
    </w:p>
    <w:tbl>
      <w:tblPr>
        <w:tblW w:w="5259" w:type="dxa"/>
        <w:jc w:val="left"/>
        <w:tblInd w:w="0" w:type="dxa"/>
        <w:tblLayout w:type="fixed"/>
        <w:tblCellMar>
          <w:top w:w="28" w:type="dxa"/>
          <w:left w:w="28" w:type="dxa"/>
          <w:bottom w:w="28" w:type="dxa"/>
          <w:right w:w="28" w:type="dxa"/>
        </w:tblCellMar>
      </w:tblPr>
      <w:tblGrid>
        <w:gridCol w:w="2266"/>
        <w:gridCol w:w="146"/>
        <w:gridCol w:w="146"/>
        <w:gridCol w:w="1036"/>
        <w:gridCol w:w="146"/>
        <w:gridCol w:w="146"/>
        <w:gridCol w:w="146"/>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18,629,117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16,621,343</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restricted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283,877</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18,815,384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16,905,220</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_item2"/>
      <w:bookmarkEnd w:id="9"/>
      <w:r>
        <w:rPr>
          <w:rFonts w:ascii="Times New Roman" w:hAnsi="Times New Roman"/>
          <w:b/>
          <w:color w:val="000000"/>
          <w:sz w:val="20"/>
        </w:rPr>
        <w:t xml:space="preserve">Item 2. Management’s Discussion and Analysis of </w:t>
      </w:r>
      <w:bookmarkStart w:id="10" w:name="item_2_managements_discussion_analysis_f"/>
      <w:bookmarkEnd w:id="10"/>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2022, included in our Annual Report on Form 10-K filed with the Securities and Exchange Commission, or the SEC, on March 28, 2023.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Kodiak Sciences (“we,” the “Company” or “Kodiak” ) is a biopharmaceutical company committed to researching, developing and commercializing transformative therapeutics to treat high prevalence retinal diseases. We are focused on bringing new science to the design and manufacture of next generation retinal medicines to prevent and treat the leading causes of blindness globally. Our ABC Platform uses molecular engineering to merge the fields of antibody-based and chemistry-based therapies and has been at the core of Kodiak's discovery engine. Kodiak's lead investigational medicine, tarcocimab, is a novel anti-VEGF antibody biopolymer conjugate under development for the treatment of retinal vascular diseases including diabetic eye disease, the leading cause of blindness in working-age patients in the developed world, and wet age-related macular degeneration, the leading cause of blindness in elderly patients in the developed world. The tarcocimab clinical program was designed to assess the product candidate's durability, efficacy and safety in major retinal vascular diseases in parallel, through the GLEAM and GLIMMER studies in diabetic macular edema, the BEACON study in retinal vein occlusion, the GLOW study in non-proliferative diabetic retinopathy and the DAYLIGHT study in wet age-related macular degeneration.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Kodiak has leveraged its ABC Platform to build a pipeline of product candidates in various stages of development. KSI-501 is our bispecific investigational medicine targeting two mechanisms implicated in retinal diseases: interleukin-6 ("IL-6") and vascular endothelial growth factor ("VEGF"). KSI-501 is being investigated in a Phase 1 clinical study, initially in patients with diabetic macular edema, to evaluate the safety, tolerability and bioactivity of KSI-501. Kodiak has expanded its early research pipeline of triplet inhibitors that combine small molecules and a biologic to form multi-targeting therapeutics with a high drug to antibody ratio ("DAR") for multifactorial ophthalmic and systemic diseases.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Updates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Tarcocimab Clinical Program Update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July 24, 2023, Kodiak announced topline results from three Phase 3 studies of tarcocimab, a novel antibody biopolymer conjugate.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DAYLIGHT study was a randomized, double-masked, active comparator-controlled study evaluating the efficacy and safety of a high intensity dosing regimen of tarcocimab in 557 treatment-naïve subjects with wet AMD. The DAYLIGHT study met the primary endpoint of non-inferior visual acuity gains for tarcocimab dosed monthly compared to aflibercept dosed every 8 weeks following 3 monthly loading doses.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GLEAM and GLIMMER studies are identically designed, randomized, double-masked, active comparator-controlled studies evaluating the efficacy, durability and safety of tarcocimab in 460 and 457 treatment-naïve subjects with DME, respectively, run in parallel. Although high proportions of patients on meaningfully longer treatment intervals were observed with tarcocimab, with half of patients on every 24-week dosing at the primary endpoint, the GLEAM and GLIMMER studies did not meet their primary efficacy endpoints of showing non-inferior visual acuity gains for tarcocimab dosed every 8 to 24 weeks after 3 monthly loading doses compared to aflibercept given every 8 weeks after 5 monthly loading doses. At the primary efficacy endpoint of the GLEAM study, patients treated with tarcocimab gained an observed average of 6.4 eye chart letters (to 73.1 letters), compared with 10.3 letters for patients treated with aflibercept (to 76.5 letters). In GLIMMER, patients treated with tarcocimab gained an observed average of 7.4 eye chart letters at the primary endpoint (to 72.5 letters) compared with 12.2 letters (to 76.4 letters) for patients treated with aflibercept.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unexpected increase in cataract adverse events was reported over time in the tarcocimab arms of both GLEAM and GLIMMER, with 19% on tarcocimab versus 9% on aflibercept at the primary endpoint based on the pooled safety population. Kodiak’s initial evaluation suggests that the decline in visual acuity associated with cataracts contributed meaningfully to the failure of each study. In the DAYLIGHT study, no imbalance in cataracts was observed between wet AMD patients receiving tarcocimab or aflibercept throughout the one-year study period, despite the intensive monthly tarcocimab dosing regimen.</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Half of tarcocimab treated patients in the GLEAM and GLIMMER studies were on every 24-week dosing at the primary endpoint, two-thirds achieved at least one 6-month dosing interval during the studies, and three-quarters achieved at least one 5-month or longer treatment interval. Intraocular inflammation was rare, occurring in 1.3% and 0.2% of tarcocimab and aflibercept treated patients, respectively. No cases of intraocular inflammation with vasculitis or vascular occlusion were observed. In the DAYLIGHT study, intraocular inflammation occurred in 3.3% of patients treated with monthly tarcocimab and 0.4% of patients treated with aflibercept, again with no vasculitis or occlusion.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these data, and despite demonstrating what Kodiak believes is great potential, Kodiak paused further development of tarcocimab in July 2023 pending review of data from the BEACON study in patients with macular edema due to RVO and the GLOW study patients with diabetic retinopathy.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September 7, 2023, Kodiak announced new one-year results for Kodiak's tarcocimab tedromer in the pivotal BEACON trial demonstrated durability, matched efficacy and comparable safety versus aflibercept in the head-to-head comparative pivotal trial over one-year.</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Tarcocimab showed matched efficacy with differentiated durability versus aflibercept in the head-to-head comparison. After 4 initiating doses in the first 6 months, 47% of tarcocimab-treated patients required no additional injections in the second 6 months (while matching the vision and anatomic outcomes of aflibercept-treated patients). Despite receiving 6 initiating monthly doses, only 37% of aflibercept patients were injection free in the second half of the study. 77% of tarcocimab treated patients received 5 or fewer doses in year one, while 93% of aflibercept treated patients received 6 or more doses. BRVO patients received a median of 4.0 injections on tarcocimab versus 7.0 injections of aflibercept. Despite materially fewer injections in tarcocimab treated patients, vision outcomes favored tarcocimab-treated patients achieving an observed mean of 76.6 letters versus 75.6 letters for aflibercept treated patients. All RVO patients received a median of 5.0 injections on tarcocimab versus 7.0 injections of aflibercept. Despite materially fewer injections in tarcocimab treated patients, vision outcomes favored tarcocimab-treated patients achieving an observed mean of 74.6 letters versus 74.3 letters for aflibercept treated patients.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6, 2023, Kodiak announced positive results in its Phase 3 GLOW study in patients with moderately severe and severe diabetic retinopathy. GLOW met its primary endpoint of patients with at least a 2-step improvement on the Diabetic Retinopathy Severity Scale (DRSS) score, a grading system measuring the degree of retinopathy. Tarcocimab achieved a 29-fold increased response rate ratio, with 41.1% of evaluable patients on tarcocimab demonstrating at least 2-step improvement versus 1.4% of evaluable patients in the sham group (p less than 0.0001). GLOW also met all key secondary endpoints, including greater reductions in the proportion of patients developing sight-threatening complications (such as diabetic macular edema and proliferative diabetic retinopathy) versus sham, demonstrating an 89% decreased risk, achieving 21.0% versus 2.3% in the sham group (p less than 0.0001). Tarcocimab also showed a 95% risk reduction in the development of DME, versus sham, from 13.7% on sham versus 0.7% on tarcocimab. In GLOW, all patients were treated with a 6-month dosing interval.</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three successful phase 3 pivotal trials, Kodiak announced its intention to conduct an additional pivotal study with a commercial formulation of tarcocimab based on a new regulatory strategy that could support a single BLA for macular edema following RVO, wet AMD and NPDR. While management believes there is a substantial probability that this study will be successful, there necessarily can be no assurance of this or that the FDA will accept or approve the planned BLA.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Antibody Biopolymer Conjugate Drug Substance Manufacturing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August 2020, we and our wholly owned subsidiary Kodiak Sciences GmbH entered into a manufacturing agreement with Lonza Ltd (“Lonza”) for the clinical and commercial supply of drug substance for Kodiak. The manufacturing agreement has an initial term of eight years, and Kodiak has the right to extend the term up to a total of 16 years. Kodiak and Lonza each have the ability to terminate this agreement upon the occurrence of certain conditions. Under the agreement, Kodiak and Lonza planned a custom-built facility (“Ursus”) dedicated to the commercial-scale manufacturing of Kodiak’s drug substance. In March 2022, the Ursus facility achieved mechanical completion. In May 2022, we announced the grand opening of this facility together with Lonza. The facility was commissioned as a cGMP facility in January 2023, and was manufacturing commercial-scale cGMP batches of tarcocimab in the first quarter of 2023. In light of the recent updates to the tarcocimab clinical program, Kodiak is exploring a variety of strategic and operational alternatives relating to this facility, including its best uses in the future.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KSI-501 Program Update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KSI-501 is our first-in-class bispecific investigational medicine designed to inhibit two mechanisms implicated in retinal diseases: vascular endothelial growth factor ("VEGF") and interleukin-6 (“IL-6”). IL-6 is a pro-inflammatory cytokine and growth factor implicated in the pathophysiology of multiple retinal diseases and, in conditions for which anti-VEGF treatment is used, elevated levels of ocular IL-6 have been associated with poor anti-VEGF treatment response. The bispecific mechanism of action of KSI-501 is designed to provide potent inhibition of (i) VEGF-mediated angiogenesis and vascular permeability through a soluble decoy receptor inhibiting the binding of VEGF-A and PLGF to their cognate receptors and (ii) IL-6 mediated inflammation through an antibody that binds soluble interleukin-6, inhibiting its binding to both soluble and membrane-bound IL-6 receptors. In cell-based assays, KSI-501 inhibits angiogenesis and also normalizes inner and outer blood retinal barriers; dual inhibition of VEGF and IL-6 by</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KSI-501 confers superior normalization of cell morphology and junctional biology compared to either anti-VEGF or anti-IL-6 monotherapy. We believe KSI-501 has the potential to become a new category of retinal medicines with greater therapeutic efficacy than existing therapies. KSI-501 is currently being studied in a Phase 1 trial in the United States to evaluate the safety, tolerability and bioactivity of KSI-501 initially in DME patients. The Phase 1 study has recently completed enrollment and dosing of patients across all dose levels. In light of the emergence of late onset cataracts observed with tarcocimab in GLEAM and GLIMMER, we intend to explore development of KSI-501 both as its unconjugated protein which is itself a novel bispecific anti-IL-6 antibody / anti-VEGF trap fusion protein and its bioconjugate form.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Technology Platform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continued progressing our technology development with our “triplet” platform and other protein therapeutic and small molecule programs. The triplet science is designed to enable multi-mechanism targeting of multifactorial diseases by embedding small molecules in the biopolymer backbone to provide a high drug-antibody ratio ("DAR"). The small molecules can be released over time to achieve sustained inhibition of targeted biological pathways. We believe this unique combination of high DAR and extended therapeutic benefit offers potential broad and important utility for multifactorial ophthalmic diseases and also may have significant relevance for systemic diseases. We continue to advance our triplet platform towards its initial therapeutic concepts.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equipment,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income consists primarily of interest income earned on our cash, cash equivalents and marketable securities.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income (expense), net consists primarily of the change in fair value and settlement of derivative contracts, tax expense and the amortized issuance costs from the liability related to the future sale of royalties to Baker Bros. Advisors, LP in 2019.</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summarizes the results of our operations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6"/>
        <w:gridCol w:w="146"/>
        <w:gridCol w:w="211"/>
        <w:gridCol w:w="736"/>
        <w:gridCol w:w="166"/>
        <w:gridCol w:w="146"/>
        <w:gridCol w:w="211"/>
        <w:gridCol w:w="736"/>
        <w:gridCol w:w="166"/>
        <w:gridCol w:w="146"/>
        <w:gridCol w:w="211"/>
        <w:gridCol w:w="736"/>
        <w:gridCol w:w="166"/>
        <w:gridCol w:w="146"/>
        <w:gridCol w:w="211"/>
        <w:gridCol w:w="841"/>
        <w:gridCol w:w="166"/>
        <w:gridCol w:w="146"/>
        <w:gridCol w:w="211"/>
        <w:gridCol w:w="841"/>
        <w:gridCol w:w="166"/>
        <w:gridCol w:w="146"/>
        <w:gridCol w:w="211"/>
        <w:gridCol w:w="736"/>
        <w:gridCol w:w="3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2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(25,488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211,597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(51,928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2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2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(213,947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(267,313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53,366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2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2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2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62,400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summarizes our research and development expenses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16"/>
        <w:gridCol w:w="146"/>
        <w:gridCol w:w="211"/>
        <w:gridCol w:w="676"/>
        <w:gridCol w:w="146"/>
        <w:gridCol w:w="146"/>
        <w:gridCol w:w="211"/>
        <w:gridCol w:w="676"/>
        <w:gridCol w:w="146"/>
        <w:gridCol w:w="146"/>
        <w:gridCol w:w="211"/>
        <w:gridCol w:w="736"/>
        <w:gridCol w:w="166"/>
        <w:gridCol w:w="146"/>
        <w:gridCol w:w="211"/>
        <w:gridCol w:w="781"/>
        <w:gridCol w:w="146"/>
        <w:gridCol w:w="146"/>
        <w:gridCol w:w="211"/>
        <w:gridCol w:w="781"/>
        <w:gridCol w:w="146"/>
        <w:gridCol w:w="146"/>
        <w:gridCol w:w="211"/>
        <w:gridCol w:w="736"/>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Tarcocimab program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(29,854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KSI-501 program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ABC Platform and other </w:t>
              <w:br/>
              <w:t>   program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(8,474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Payroll and personnel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(12,284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(12,428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Facilities and other research and </w:t>
              <w:br/>
              <w:t>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 xml:space="preserve">Total research and development </w:t>
              <w:br/>
              <w: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61,676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Tarcocimab program expenses decreased $11.7 million and $29.9 million during the three and nine months ended September 30, 2023 as compared to the same periods in 2022, primarily driven by the wind-down of the tarcocimab development program.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Phase 1 study of KSI-501 began enrolling patients with DME in the beginning of the second quarter of 2023. During the three and nine months ended September 30, 2023 as compared to the same periods in 2022, KSI-501 program expenses increased $0.2 million and decreased $3.2 million due to timing of manufacturing runs in the comparable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ABC Platform and other program expenses decreased $1.8 million and $8.5 million during the three and nine months ended September 30, 2023 as compared to the same periods in 2022, primarily due to timing of manufacturing runs.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Payroll and personnel expenses decreased $12.3 million and $12.4 million during the three and nine months ended September 30, 2023 as compared to the same periods in 2022. The decrease in payroll and personnel expenses was primarily driven by forfeitures related to stock-based compensation expense for the 2021 LTPIP.</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Facilities and other research and development expenses increased $0.1 million and $2.0 million during the three and nine months ended September 30, 2023 as compared to the same periods in 2022, primarily due to depreciation of our custom-built manufacturing facility.</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increased $0.5 million and decreased $1.4 million during the three and nine months ended September 30, 2023 as compared to the same periods in 2022. For the nine months ended September 30, 2023, the decrease was primarily driven by professional fees for consulting and accounting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funded our operations primarily through the sale and issuance of common stock, redeemable convertible preferred stock, convertible notes, warrants and the sale of royalties. As of September 30, 2023, we had cash and cash equivalents of $345.7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net losses since our inception. For the three and nine months ended September 30, 2023, we had net loss of $50.0 million and $201.0 million, of which $13.9 million and $65.7 million related to non-cash stock-based compensation expense, respectively. We expect to continue to incur additional losses in future periods. As of September 30, 2023, we had an accumulated deficit of $1,093.0 million. We believe that the cash and cash equivalents will be sufficient to meet our anticipated operating and capital expenditure requirements at least 12 months following the date of this Quarterly Report on Form 10-Q.</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based these estimates on assumptions that may prove to be wrong, and we could deplete our capital resources sooner than we expect. 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and scope of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scope and costs of manufacturing development and commercial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efforts to enhance operational systems and our ability to attract, hire and retain qualified personnel, including personnel to support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associated with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and timing associated with commercializing our product candidates, if they receive marketing approval.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significant uncertainties caused by health epidemics, the on-going geopolitical conflicts, inflation, rising interest rates, bank failures, lower consumer confidence,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sets forth the primary sources and uses of cash for each of the periods presented below, in thousands:</w:t>
      </w:r>
      <w:r>
        <w:rPr>
          <w:rFonts w:ascii="Times New Roman" w:hAnsi="Times New Roman"/>
          <w:color w:val="000000"/>
          <w:sz w:val="20"/>
        </w:rPr>
        <w:t xml:space="preserve"> </w:t>
      </w:r>
    </w:p>
    <w:p>
      <w:pPr>
        <w:pStyle w:val="TextBody"/>
        <w:bidi w:val="0"/>
        <w:jc w:val="left"/>
        <w:rPr/>
      </w:pPr>
      <w:r>
        <w:rPr/>
        <w:t> </w:t>
      </w:r>
    </w:p>
    <w:tbl>
      <w:tblPr>
        <w:tblW w:w="8339" w:type="dxa"/>
        <w:jc w:val="left"/>
        <w:tblInd w:w="0" w:type="dxa"/>
        <w:tblLayout w:type="fixed"/>
        <w:tblCellMar>
          <w:top w:w="28" w:type="dxa"/>
          <w:left w:w="28" w:type="dxa"/>
          <w:bottom w:w="28" w:type="dxa"/>
          <w:right w:w="28" w:type="dxa"/>
        </w:tblCellMar>
      </w:tblPr>
      <w:tblGrid>
        <w:gridCol w:w="5566"/>
        <w:gridCol w:w="146"/>
        <w:gridCol w:w="211"/>
        <w:gridCol w:w="841"/>
        <w:gridCol w:w="166"/>
        <w:gridCol w:w="146"/>
        <w:gridCol w:w="211"/>
        <w:gridCol w:w="84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(121,944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(151,384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(403,511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(553,097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 was $121.9 million for the nine months ended September 30, 2023, primarily attributable to a net loss during this period due to the maturation of the tarcocimab clinical program and timing of manufacturing activities. Cash used in operating activities was also driven by changes in operating assets and liabilities.</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 from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 was $277.0 million for the nine months ended September 30, 2023, primarily related to maturities of marketable securities and capital expenditures during the period.</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2022, which was filed with the SEC on March 28, 2023. There have been no material changes in our contractual obligations and commitments since December 31, 2022, except as otherwise described in Note 7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there were no material changes to our critical accounting policies as reported in our Annual Report on Form 10-K for the year ended December 31, 2022, which was filed with the SEC on March 28, 2023, except as otherwise described in Note 2 to our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description of recently issued accounting pronouncements that may potentially impact our financial position and results of operations is discussed under Note 2 to our unaudited condensed consolidated financial statements included in this report.</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_item3"/>
      <w:bookmarkEnd w:id="11"/>
      <w:r>
        <w:rPr>
          <w:rFonts w:ascii="Times New Roman" w:hAnsi="Times New Roman"/>
          <w:b/>
          <w:color w:val="000000"/>
          <w:sz w:val="20"/>
        </w:rPr>
        <w:t>Item 3. Quantitative and Qualitati</w:t>
      </w:r>
      <w:bookmarkStart w:id="12" w:name="item_3_quantitative_qualitative_disclosu"/>
      <w:bookmarkEnd w:id="12"/>
      <w:r>
        <w:rPr>
          <w:rFonts w:ascii="Times New Roman" w:hAnsi="Times New Roman"/>
          <w:b/>
          <w:color w:val="000000"/>
          <w:sz w:val="20"/>
        </w:rPr>
        <w:t>ve Disclosures About Market Risk.</w:t>
      </w:r>
    </w:p>
    <w:p>
      <w:pPr>
        <w:pStyle w:val="TextBody"/>
        <w:bidi w:val="0"/>
        <w:spacing w:before="120" w:after="283"/>
        <w:jc w:val="left"/>
        <w:rPr>
          <w:rFonts w:ascii="Times New Roman" w:hAnsi="Times New Roman"/>
          <w:b w:val="false"/>
          <w:color w:val="000000"/>
          <w:sz w:val="20"/>
        </w:rPr>
      </w:pPr>
      <w:bookmarkStart w:id="13" w:name="s161692780"/>
      <w:bookmarkEnd w:id="13"/>
      <w:r>
        <w:rPr>
          <w:rFonts w:ascii="Times New Roman" w:hAnsi="Times New Roman"/>
          <w:b w:val="false"/>
          <w:color w:val="000000"/>
          <w:sz w:val="20"/>
        </w:rPr>
        <w:t>During the nine months ended September 30, 2023, there were no material changes to our market risk disclosures as reported in our Annual Report on Form 10-K for the year ended December 31, 2022, which was filed with the SEC on March 28, 2023.</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Management’s Evaluation of our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September 30, 2023. Based upon such evaluation, our principal executive officer and principal financial officer concluded that the design and operation of our disclosure controls and procedures were effective at a reasonable assurance level as of September 30, 2023.</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has been no change in our internal control over financial reporting during the quarter ended September 30, 2023, that has materially affected, or is reasonably likely to materially affect, our internal control over financial reporting.</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i_item4t"/>
      <w:bookmarkEnd w:id="15"/>
      <w:r>
        <w:rPr>
          <w:rFonts w:ascii="Times New Roman" w:hAnsi="Times New Roman"/>
          <w:b/>
          <w:color w:val="000000"/>
          <w:sz w:val="20"/>
        </w:rPr>
        <w:t>PART II—OTHER</w:t>
      </w:r>
      <w:bookmarkStart w:id="16" w:name="part_iior_information"/>
      <w:bookmarkEnd w:id="16"/>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pStyle w:val="TextBody"/>
        <w:bidi w:val="0"/>
        <w:spacing w:before="24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28, 2023.</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NPDR and RVO. Certain of our trials did not meet their primary efficacy endpoints, and in July 2023 we announced a business decision to wind-down development of tarcocimab. Following additional positive results from other on-going tarcocimab clinical trials, we plan to resume the tarcocimab development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date, we have not obtained marketing approval for any product candidates, including tarcocimab and KSI-501, our dual inhibitor antibody biopolymer conjugate targeting both IL-6 (anti-IL-6 antibody) and VEGF (VEGF-trap),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prospects are heavily dependent on our tarcocimab and KSI-501 product candidates, which are currently in clinical development for multiple indications.*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prospects will be heavily dependent on our tarcocimab and KSI-501 product candidates and the results of planned or pending clinical studies. We cannot be certain that our product candidates will be successful in any of the planned or pending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early preclinical and Phase 1/1b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example, in our Phase 2b/3 clinical trial evaluating the efficacy, durability and safety of tarcocimab in treatment-naïve subjects with neovascular wet AMD and in our Phase 3 GLEAM and GLIMMER studies, tarcocimab did not meet the primary efficacy endpoint of showing non-inferior visual acuity gains.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clinical study designs and data are not necessarily predictive of the final marketed product label. FDA may not approve a label for a particular dosing frequency, even if we believe the data demonstrate support for that dosing.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a Phase 1 study of KSI-501 has completed the dosing phase in patients in the United States to evaluate the safety, tolerability and bioactivity of KSI-501 in DME, it may be years before a registrational-type trial is completed, if at all.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plan for the development of tarcocimab may be unsuccessful.*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discontinued further development of tarcocimab in mid-2023 pending the outcomes of two other trials that were then underway; while those trials produced favorable results and we are planning an additional trial, that trial may not be successful. In connection with our development program, we developed an enhanced, commercial formulation of tarcocimab to improve manufacturability and usability by reducing injection time from 7-10 seconds to 2-3 seconds. While we believe that so doing does not affect the applicability of prior test results, we cannot be sure that the FDA, EMA or comparable foreign regulatory authorities would agree or accept our planned BLA even if our planned additional trial is successful.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failure of pivotal studies of tarcocimab to meet their primary efficacy endpoints may lead us to pause or discontinue development of other product candidates based on our ABC Platform.*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2023, we announced that two of our pivotal Phase 3 clinical trials of tarcocimab did not meet their primary efficacy endpoints and, as a result, Kodiak paused further development of tarcocimab pending review of data from the BEACON study in patients with macular edema due to RVO and the GLOW study patients with diabetic retinopathy. Although we intend to resume the development of tarcocimab, we may again determine to discontinue development of tarcocimab or our ABC Platform or other product candidates based on our ABC Platform based on future information, which could prevent us from or significantly delay achieving profitability and could result in disruptions to our business including potential impairment charges, restructuring costs, or costs that are greater than expected.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product candidates and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product candidate may not be capable of being produced in commercial quantities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we may not be successful in our efforts to further develop our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For example, in July 2023 we announced a business decision to wind-down development of tarcocimab following certain of our trials not meeting their primary efficacy endpoints. Events that may prevent successful or timely initiation or completion of clinical trials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 xml:space="preserve">inability to generate sufficient preclinical, toxicology, or other </w:t>
      </w:r>
      <w:r>
        <w:rPr>
          <w:rFonts w:ascii="Times New Roman" w:hAnsi="Times New Roman"/>
          <w:b w:val="false"/>
          <w:i/>
          <w:color w:val="000000"/>
          <w:sz w:val="20"/>
        </w:rPr>
        <w:t>in vivo</w:t>
      </w:r>
      <w:r>
        <w:rPr>
          <w:color w:val="000000"/>
        </w:rPr>
        <w:t xml:space="preserve"> </w:t>
      </w:r>
      <w:r>
        <w:rPr>
          <w:rFonts w:ascii="Times New Roman" w:hAnsi="Times New Roman"/>
          <w:b w:val="false"/>
          <w:color w:val="000000"/>
          <w:sz w:val="20"/>
        </w:rPr>
        <w:t xml:space="preserve">or </w:t>
      </w:r>
      <w:r>
        <w:rPr>
          <w:rFonts w:ascii="Times New Roman" w:hAnsi="Times New Roman"/>
          <w:b w:val="false"/>
          <w:i/>
          <w:color w:val="000000"/>
          <w:sz w:val="20"/>
        </w:rPr>
        <w:t>in vitro</w:t>
      </w:r>
      <w:r>
        <w:rPr>
          <w:color w:val="000000"/>
        </w:rPr>
        <w:t xml:space="preserve"> </w:t>
      </w:r>
      <w:r>
        <w:rPr>
          <w:rFonts w:ascii="Times New Roman" w:hAnsi="Times New Roman"/>
          <w:b w:val="false"/>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identifying, recruiting and training suitable clinical investigators;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by our CROs, other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recently completed GLEAM AND GLIMMER clinical trials, we observed an unexpected increase in cataracts, which we believe may have contributed meaningfully to the failure of each study to meet its primary efficacy endpoint.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most advanced product candidate, tarcocimab, is an anti-VEGF biologic that we have studied in wet AMD, DME, NPDR and RVO. KSI-501 is our investigational medicine and is a first-in-class bispecific antibody conjugate designed to inhibit two mechanisms implicated in retinal diseases: interleukin-6 (IL-6) and vascular endothelial growth factor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and KSI-501 may heighten the risk of adverse effects associated with anti-VEGF treatments generally, both in the eye and in the rest of the body. There are risks inherent in the intravitreal injection procedure of drugs like tarcocimab and KSI-501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and KSI-501 in broader populations and impact clinical trial enrollment, regulatory approval and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reputation may suffer.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of these events could prevent us from achieving or maintaining market acceptance of the particular product candidate, if approved, and could significantly harm our business, results of operations, and prospects.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new safety events may cause physicians to decrease patient enrollment in our current or planned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risk that patients enrolled in clinical trials will not complete such trials, for any reason.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For example, in our Phase 2b/3 clinical trial evaluating the efficacy, durability and safety of tarcocimab in treatment-naïve subjects with neovascular wet AMD and in our recently completed Phase 3 GLEAM and GLIMMER studies, tarcocimab did not meet the primary efficacy endpoint of showing non-inferior visual acuity gains.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be unable to design and execute clinical trials that support marketing approval. We cannot be certain that our planned clinical trials or any other future clinical trials will be successful. Additionally, any safety concerns observed in any one of our clinical</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trials in our targeted indications could limit the prospects for regulatory approval of our product candidates in those and other indications,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r>
        <w:rPr>
          <w:rFonts w:ascii="Times New Roman" w:hAnsi="Times New Roman"/>
          <w:b w:val="false"/>
          <w:color w:val="000000"/>
          <w:sz w:val="24"/>
        </w:rPr>
        <w:t>.</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are a number of large pharmaceutical and biotechnology companies that are currently pursuing the development of products for the treatment of the retinal diseases for which we have product candidates. Certain of our competitors have commercially approved products for the treatment of retinal diseases that we are pursuing or may pursue in the future, including Roche, Regeneron and Novartis for the treatment of wet AMD, DME, NPDR and RVO. 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 / or commercializing therapeutics in the retinal disease area include large companies with significant financial resources, such as Roche, Novartis, Bayer and Regeneron, AbbVie, Boehringer Ingelheim, AstraZeneca, Amgen, Johnson &amp; Johnson, and Samsung Bioepis. In addition to competition from other companies targeting retinal indications, any products we may develop may also face competition from other types of therapies, such as gene-editing therapies and drug delivery devices.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Two Lucentis biosimilars were approved in the United States in 2022, and their approval may impact market dynamics and payor policies negatively for our product candidates. Roche’s product, Vabysmo (faricimab) received FDA approval for the treatment of wet AMD and DME in January 2022 and received FDA approval for RVO in October 2023. Vabysmo has gained rapid adoption since launch, and we believe it will become an important product in the marketplace. In September 2022, Regeneron reported positive topline results from its Phase 3 studies of a higher dose formulation of aflibercept that met its non-inferiority endpoint in pivotal studies in wet AMD and DME while dosing a majority of patients on an every 3 or 4 month interval. If approved, we believe high dose aflibercept may become an important therapy in the marketplace given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manufacture of our product candidates is highly complex and requires substantial lead time to produce.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on third parties for raw materials needed for manufacturing our product candidates. We may not be able to obtain adequate amounts in the future. These challenges are magnified by the international nature of our supply chain, which, for tarcocimab and KSI-501, requires drug substance and drug product sourced from single source suppliers from China, Japan, the United Kingdom, the United States and Switzerland.</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Times New Roman" w:hAnsi="Times New Roman"/>
          <w:b w:val="false"/>
          <w:color w:val="000000"/>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methods of manufacturing or formulation of product candidates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recently created a scale-up formulation of tarcocimab in a manner that we believe may improve manufacturability and usability.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Factors that may inhibit our efforts to commercialize any approved product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prevalence and severity of any side effects.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product candidates we develop do not achieve an adequate level of acceptance, we may not generate significant product revenue, and we may not become profitable.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Drug pricing and access policies in the United States and internationally may change and negatively impact the commercial viability of our product candidates. Proposed policy changes, including the potential for Medicare to negotiate with drug manufacturers under the recently enacted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development program and timeline of tarcocimab may impact our ability to use the Ursus facility as intended, which could</w:t>
      </w:r>
      <w:r>
        <w:rPr>
          <w:rFonts w:ascii="Times New Roman" w:hAnsi="Times New Roman"/>
          <w:color w:val="000000"/>
          <w:sz w:val="20"/>
        </w:rPr>
        <w:t xml:space="preserve"> </w:t>
      </w:r>
      <w:r>
        <w:rPr>
          <w:rFonts w:ascii="Times New Roman" w:hAnsi="Times New Roman"/>
          <w:b/>
          <w:i/>
          <w:color w:val="000000"/>
          <w:sz w:val="20"/>
        </w:rPr>
        <w:t>result in an excess of capital expenditures</w:t>
      </w:r>
      <w:r>
        <w:rPr>
          <w:rFonts w:ascii="Times New Roman" w:hAnsi="Times New Roman"/>
          <w:b w:val="false"/>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Fixed assets of approximately 75.0 million Swiss Francs, equivalent to $81.7 million, consisting of leasehold improvements and machinery and equipment, were placed in service and capitalized as of January 31, 2023, $26.8 million of which was unpaid and recorded to accrued property and equipment under accrued and other current liabilities on the condensed consolidated balance sheet as of September 30, 2023. In July 2023, we announced a decision to pause further development of tarcocimab, and then in November 2023, following additional positive clinical trial results, we announced a decision to resume the development of tarcocimab. The development plan,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we are successful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initiation of investigations by regulators;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decline in our share price.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Applications for our product candidates could fail to receive regulatory approval for many reasons, including but not limited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EMA or comparable foreign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regulatory scrutiny.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issue warning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a product recall.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legislative measures aimed at reducing healthcare costs may have a material adverse effect on our business and results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Biden administration will impact the ACA and our business.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and Consolidated Appropriations Act of 2023, will remain in effect until 2032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availability of capital.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will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that the ACA, the IRA,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b w:val="false"/>
          <w:color w:val="000000"/>
          <w:sz w:val="20"/>
        </w:rPr>
        <w:t>that involve the use, or disclosure of, individually identifiable health information as well as their covered subcontractors, relating to the privacy, security and transmission of individually identifiable health information;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sales; and other adverse business consequences.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ordinary course of business, we may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a variety of provincial, state, national, and foreign laws and regulations, as well as policies, contracts and other obligations that apply to the processing of sensitive information. Data privacy and security laws and regulations are evolving and may result in ever-increasing regulatory and public scrutiny and escalating levels of enforcement and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United States, federal, state, and local governments have enacted numerous data privacy and security laws, including data breach notification laws, personal data privacy laws, and consumer protection laws.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data. The CCPA provides for civil penalties for violations (up to $7,500 per violation) and a private right of action for certain data breaches. In addition, it is anticipated that the California Privacy Rights Act of 2020, or CPRA, effective January 1, 2023, will expand the CCPA. Additionally, the CPRA establishes a new California Privacy Protection Agency to implement and enforce the CPRA, which could increase the risk of enforcement. While certain clinical trial activities are exempt from the CCPA’s and the CPRA’s requirements, other personal data that we handle may be subject to the CCPA and the CPRA, which may increase our compliance costs, exposure to regulatory enforcement action and other liabilities. Since the enactment of the CCPA, new privacy and data security laws have been proposed in more than half of the states and in the U.S. Congress, reflecting a trend toward more stringent privacy legislation in the U.S. For example, Virginia passed the Consumer Data Protection Act, Colorado passed the Colorado Privacy Act, and Utah passed the Utah Consumer Privacy Act, all of which become effective in 2023.</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Violators of these laws face significant penalties. For example, under the EU GDPR, government regulators may impose temporary or definitive bans on data processing, as well as fines of up to 20 million euros or 4% of annual global revenue, whichever is greater. Further, the EU GDPR also provides for private litigation related to the processing of personal data that can be brought by classes of data subjects or consumer protection organizations authorized at law to represent the data subjects’ interests.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GDPR, CCPA and many other laws and regulations relating to data privacy and security are still being tested in courts, and they are subject to new and differing interpretations by courts and regulatory officials. We are working to comply with the data privacy and security laws and regulations that apply to us, and we anticipate needing to devote significant additional resources to complying with these laws and regulations. It is possible that the GDPR, CCPA or other laws and regulations relating to data privacy and security may be interpreted and applied in a manner that is inconsistent from jurisdiction to jurisdiction or inconsistent with our current policies and practices.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actual or perceived failure to adequately comply with applicable laws, regulations, policies, contracts and other obligations relating to data privacy and security, or to protect personal data and other data we process or maintain, could result in regulatory fines and bans on processing personal data,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br/>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be unable to establish any further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inability to produce required volume in a timely manner and to quality standards.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medicines that we may develop may compete with other product candidates and products for access to manufacturing facilities. There are a limited number of manufacturers that operate under cGMP regulations and that might be capable of manufacturing for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Collaborations involving our product candidates we may develop, pose the following risks to us: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collaboration agreements may not lead to development or commercialization of product candidates in the most efficient manner or at all.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and KSI-501, if we rely on a different product, its development could involve the use of government funds, which can require additional compliance aspects to make certain all rights are transferred to or remain with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pStyle w:val="TextBody"/>
        <w:bidi w:val="0"/>
        <w:spacing w:before="120" w:after="283"/>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and post-grant review have been implemented. As stated above, this reform adds uncertainty to the possibility of challenge to our patents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aware of a number of patents and patent applications that are directed to one or more aspects of tarcocimab and KSI-501. Our intent is to maintain our development efforts under 35 U.S.C. Section 271(e)(1) (which provides a safe harbor from patent infringement claims related to certain drug development activities) through to at least the launch of any tarcocimab and KSI-501 product. We are aware of at least one pending patent application with claims that are directed to some aspect of tarcocimab and KSI-501, and that could, if issued, result in a patent term beyond a potential launch date for tarcocimab or KSI-501. If this were to occur, we may be required to challenge the validity of the claims, obtain a license, modify tarcocimab or KSI-501, or delay launch. We are also aware of at least one issued patent family with claims that may be related to some potential future aspect(s) of KSI-501 and that has a patent term beyond a potential launch date for KSI-501. If this or any other patent family were perceived relevant, we may be required to challenge the validity of the claims, obtain a license, modify KSI-501, or delay launch.</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choose to further the pipeline and develop a different product, such a product would be delayed until the expiration of any valid patent that is still in force on such product. Alternatively, our options for addressing any such patents relating to these non- tarcocimab and KSI-501 products would include the following: challenge the validity of the claims, obtain a license, or modify the non- tarcocimab and non-KSI-501 products.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Should any of these events occur, they could have a material adverse effect on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and capabilities of our organization, and we may experience difficulties in managing this growth.</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116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managing increasing operational and managerial complexity.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if we undertake such a transaction, we may incur large one-time expenses and acquire intangible assets that could result in significant future amortization expense.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ordinary course of our business, we process personal data and other sensitive information, including proprietary and confidential business data, trade secrets, intellectual property, data collected about trial participants in connection with clinical trials, and sensitive third-party data.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upon which we rely may be vulnerable to a heightened risk of attacks, including cyber-attacks that could materially disrupt our systems and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as a result of health epidemics, certain employees may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access to our sensitive information, or interruptions or stoppages in our business operations (including our clinical trials).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we have developed systems and processes designed to protect the integrity, confidentiality and security of the sensitive information under our control, we cannot assure you that our security measures or those of the third parties we depend on will be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effective in preventing security incidents. There are many different and rapidly evolving cybercrime and hacking techniques, and we may be unable to anticipate attempted security incidents, identify them before our information is exploited, or react in a timely manner. We may be unable to detect vulnerabilities in our information technology systems and software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applicable data protection requirements, including, without limitation, laws, regulations, guidance as well as our internal and external policies and our contractual obligations, may require us to notify relevant stakeholders of security incident,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subject to economic, political, regulatory and other risks associated with international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is subject to risks associated with conducting business internationally. Some of our suppliers and collaborative relationships are located outside the United States. Accordingly, our future results could be harmed by a variety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differing and changing regulatory requirements, pricing and reimbursement regimes in non-U.S.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non-U.S. regulations and customs, tariffs and trade barriers;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business interruptions resulting from geo-political actions, including war and terrorism or natural disasters.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Any delay in obtaining, or an inability to obtain, any marketing approvals, would restrict our ability to generate revenue and achieve and sustain profitability.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In addition, increasing inflation rates and the responses by central banking authorities to control such inflation have contributed to uncertainty and volatility in U.S. and global markets. Rising inflation rates in the United States have begun to affect businesses across many industries, including ours, by increasing costs of operations such as labor.</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and other risks associated with our planned international operations may materially adversely affect our business, financial condition, and ability to attain profitable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the effects of disease outbreaks, epidemics and pandemics, as well as the business or operations of our manufacturers, CROs or other third parties with whom we conduct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Kodiak staff and/or our CRO</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December 31, 2022, the Company had $68.7 million of federal and $614.9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r>
        <w:rPr>
          <w:rFonts w:ascii="Times New Roman" w:hAnsi="Times New Roman"/>
          <w:b w:val="false"/>
          <w:color w:val="000000"/>
          <w:sz w:val="20"/>
        </w:rPr>
        <w:br/>
      </w:r>
      <w:r>
        <w:rPr>
          <w:rFonts w:ascii="Times New Roman" w:hAnsi="Times New Roman"/>
          <w:color w:val="000000"/>
          <w:sz w:val="20"/>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health epidemics, component shortages and related supply chain challenges, geopolitical conflicts, bank failures and increasing inflation rates and the responses by central banking authorities to control such inflation, among others. General business and economic conditions that could affect our business, financial</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Russia-Ukraine conflict and related sanctions has contributed to rapidly rising costs of living (driven largely by higher energy prices) in Europe and other advanced economies.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in each period since our inception and anticipate that we will continue to incur significant and increasing net losses for the foreseeable future.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net losses in each reporting period since our inception, including net losses of $201.0 million for the nine months ended September 30, 2023. As of September 30, 2023, we had an accumulated deficit of $1,093.0 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to continue to incur significant and increasingly higher expenses and operating losses for the foreseeable future. We anticipate that our expenses will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seek regulatory approvals and marketing authorizations for our product candidates;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defend against any product liability claims or other lawsuits related to our products.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generate revenue and achieve profitability depends significantly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attracting, hiring and retaining qualified personnel.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obtain additional financing, we may be unable to complete the development and, if approved,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operations have required substantial amounts of cash since inception. To date, we have funded our operations primarily through the sale of equity securities.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will require additional capital for the further development and, if approved, commercialization of our product candidates. Additional capital may not be available when we need it, on terms acceptable to us or at all. For example, recent geopolitical conflicts in Europe and the Middle East created extreme volatility in the global capital markets and are expected to have further global economic consequences, including disruptions of the global supply chain. Further, inflation rates, particularly in the United States, have increased recently to levels not seen in decades, and the Federal Reserve has raised, and may again raise, interest rates. These conditions of economic uncertainty and market volatility could limit additional capital available to us, if and when needed.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collaboration, licensing or other royalty arrangements in cases in which it would have been advantageous for us to invest additional resources to retain sole development and commercialization rights.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exchange rate risk may impact our financial position and results.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may be volatile, which could result in substantial losses for investors purchasing shares.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market price of our common stock may be volatile. For example, the closing price of our common stock from December 31, 2021 to December 31, 2022 ranged from a low of $5.04 to a high of $89.45 and from January 1, 2023 to October 31, 2023 ranged from a low of $1.40 to a high of $9.48. As a result, shareholders may not be able to sell their common stock at or above the price that they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sales of our common stock by us, our insiders, or other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general economic, industry, and market conditions, including the current inflationary environment, lowered consumer confidence, bank failures, major geopolitical conflicts;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other factors described in this “Risk Factors” section.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Broad market and industry factors may seriously affect the market price of our common stock, regardless of our actual operating performance. In this regard, worsening economic conditions, interest rate increases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Section 203 of the General Corporation Law of the State of Delaware, or DGCL, prohibits a publicly-held Delaware corporation from engaging in a business combination with an interested stockholder, generally a person which together with its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affiliates owns, or within the last three years has owned, 15% of our voting stock, for a period of three years after the date of the transaction in which the person became an interested stockholder, unless the business combination is approved in a prescribed manner.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bylaws provide that the Court of Chancery of the State of Delaware will be the exclusive forum for:</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action asserting a claim against us that is governed by the internal-affairs doctrine.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bylaws further provide that the U.S. federal district courts will be the exclusive forum for resolving any complaint asserting a cause of action arising under the Securities Act of 1933, as amended.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decline, even if our business is doing well.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A failure to maintain an effective system of internal control over financial reporting could result in material misstatements of our financial statements in future periods and may impair our ability to comply with the accounting and reporting requirements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applicable to public companies. Furthermore, our business, financial position, and results of operations could be adversely affected.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i_item2"/>
      <w:bookmarkEnd w:id="19"/>
      <w:r>
        <w:rPr>
          <w:rFonts w:ascii="Times New Roman" w:hAnsi="Times New Roman"/>
          <w:b/>
          <w:color w:val="000000"/>
          <w:sz w:val="20"/>
        </w:rPr>
        <w:t xml:space="preserve">Item 2. </w:t>
      </w:r>
      <w:bookmarkStart w:id="20" w:name="item_2_unregistered_sales_equity_securit"/>
      <w:bookmarkEnd w:id="20"/>
      <w:r>
        <w:rPr>
          <w:rFonts w:ascii="Times New Roman" w:hAnsi="Times New Roman"/>
          <w:b/>
          <w:color w:val="000000"/>
          <w:sz w:val="20"/>
        </w:rPr>
        <w:t>Unregistered Sales of Equity Securities, Use of Proceeds, and Issuer Purchases of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21" w:name="item_3_defaults_upon_senior_securities"/>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23" w:name="item_5_or_information"/>
      <w:bookmarkEnd w:id="23"/>
      <w:r>
        <w:rPr>
          <w:rFonts w:ascii="Times New Roman" w:hAnsi="Times New Roman"/>
          <w:b/>
          <w:color w:val="000000"/>
          <w:sz w:val="20"/>
        </w:rPr>
        <w:t>Item 5. Other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4" w:name="ii_item6"/>
      <w:bookmarkEnd w:id="24"/>
      <w:r>
        <w:rPr>
          <w:rFonts w:ascii="Times New Roman" w:hAnsi="Times New Roman"/>
          <w:b/>
          <w:color w:val="000000"/>
          <w:sz w:val="20"/>
        </w:rPr>
        <w:t>Item 6. E</w:t>
      </w:r>
      <w:bookmarkStart w:id="25" w:name="item_6_exhibits"/>
      <w:bookmarkEnd w:id="25"/>
      <w:r>
        <w:rPr>
          <w:rFonts w:ascii="Times New Roman" w:hAnsi="Times New Roman"/>
          <w:b/>
          <w:color w:val="000000"/>
          <w:sz w:val="20"/>
        </w:rPr>
        <w:t>xhibits.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(a)</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2"/>
        <w:gridCol w:w="146"/>
        <w:gridCol w:w="5997"/>
        <w:gridCol w:w="146"/>
        <w:gridCol w:w="527"/>
        <w:gridCol w:w="146"/>
        <w:gridCol w:w="842"/>
        <w:gridCol w:w="146"/>
        <w:gridCol w:w="631"/>
        <w:gridCol w:w="146"/>
        <w:gridCol w:w="726"/>
      </w:tblGrid>
      <w:tr>
        <w:trPr/>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6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5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 of Kodiak Sciences Inc.</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10-Q</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11/16/2018</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Amended and Restated Bylaws of Kodiak Sciences Inc.</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10-Q</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11/16/2018</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Form of Common Stock Certificate</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S-1/A</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333-227237</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9/24/2018</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Form of Class B Share Warrant</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S-1</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333-227237</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9/7/2018</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Registration Rights Agreement, dated March 1, 2021, by and among the registrant and the investors named therein</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10-K</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001-38682</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4.7</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3/1/2021</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Times New Roman" w:hAnsi="Times New Roman"/>
                  <w:b w:val="false"/>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Times New Roman" w:hAnsi="Times New Roman"/>
                  <w:b w:val="false"/>
                  <w:color w:val="0000FF"/>
                  <w:sz w:val="20"/>
                  <w:u w:val="single"/>
                </w:rPr>
                <w:t>Certification of Principal Accounting and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with applicable taxonomy extension information contained in Exhibits 101)</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r>
        <w:trPr/>
        <w:tc>
          <w:tcPr>
            <w:tcW w:w="7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signatures"/>
      <w:bookmarkEnd w:id="26"/>
      <w:r>
        <w:rPr>
          <w:rFonts w:ascii="Times New Roman" w:hAnsi="Times New Roman"/>
          <w:b/>
          <w:color w:val="000000"/>
          <w:sz w:val="20"/>
        </w:rPr>
        <w:t>SIGNAT</w:t>
      </w:r>
      <w:bookmarkStart w:id="27" w:name="signature"/>
      <w:bookmarkEnd w:id="27"/>
      <w:r>
        <w:rPr>
          <w:rFonts w:ascii="Times New Roman" w:hAnsi="Times New Roman"/>
          <w:b/>
          <w:color w:val="000000"/>
          <w:sz w:val="20"/>
        </w:rPr>
        <w: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KODIAK SCIENCES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bookmarkStart w:id="28" w:name="kod-ex31_1.htm"/>
      <w:bookmarkStart w:id="29" w:name="kskod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Victor Perlroth, M.D.,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Kodiak Sciences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2206"/>
        <w:gridCol w:w="109"/>
        <w:gridCol w:w="406"/>
        <w:gridCol w:w="34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kod-ex31_2.htm"/>
      <w:bookmarkStart w:id="31" w:name="kskod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John Borgeson,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Kodiak Sciences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kod-ex32_1.htm"/>
      <w:bookmarkStart w:id="33" w:name="kskod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Kodiak Sciences Inc. (the “Company”) on Form 10-Q for the period ended September 30, 2023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2206"/>
        <w:gridCol w:w="109"/>
        <w:gridCol w:w="406"/>
        <w:gridCol w:w="34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kod-ex32_2.htm"/>
      <w:bookmarkStart w:id="35" w:name="kskod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Kodiak Sciences Inc. (the “Company”) on Form 10-Q for the period ended September 30, 2023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14,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748/000156459018029743/kod-ex31_303.htm" TargetMode="External"/><Relationship Id="rId3" Type="http://schemas.openxmlformats.org/officeDocument/2006/relationships/hyperlink" Target="https://www.sec.gov/Archives/edgar/data/1468748/000156459018029743/kod-ex32_302.htm" TargetMode="External"/><Relationship Id="rId4" Type="http://schemas.openxmlformats.org/officeDocument/2006/relationships/hyperlink" Target="https://www.sec.gov/Archives/edgar/data/1468748/000119312518280419/d516071dex41.htm" TargetMode="External"/><Relationship Id="rId5" Type="http://schemas.openxmlformats.org/officeDocument/2006/relationships/hyperlink" Target="https://www.sec.gov/Archives/edgar/data/1468748/000119312518269221/d516071dex45.htm" TargetMode="External"/><Relationship Id="rId6" Type="http://schemas.openxmlformats.org/officeDocument/2006/relationships/hyperlink" Target="https://www.sec.gov/Archives/edgar/data/1468748/000156459021009946/kod-ex47_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49314</Words>
  <Characters>279415</Characters>
  <CharactersWithSpaces>329400</CharactersWithSpaces>
  <Paragraphs>4785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