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488ds3asr.htm"/>
        <w:bookmarkStart w:id="1" w:name="ksd14348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20,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KODIAK SCIENCES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27-0476525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1250 Page Mill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center"/>
        <w:rPr>
          <w:rFonts w:ascii="Times New Roman" w:hAnsi="Times New Roman"/>
          <w:b/>
          <w:sz w:val="18"/>
        </w:rPr>
      </w:pPr>
      <w:r>
        <w:rPr>
          <w:rFonts w:ascii="Times New Roman" w:hAnsi="Times New Roman"/>
          <w:b/>
          <w:sz w:val="18"/>
        </w:rPr>
        <w:t xml:space="preserve">(650) 281-0850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D. Victor Perlroth, M.D. </w:t>
      </w:r>
    </w:p>
    <w:p>
      <w:pPr>
        <w:pStyle w:val="TextBody"/>
        <w:bidi w:val="0"/>
        <w:spacing w:before="0" w:after="0"/>
        <w:jc w:val="center"/>
        <w:rPr>
          <w:rFonts w:ascii="Times New Roman" w:hAnsi="Times New Roman"/>
          <w:b/>
          <w:sz w:val="18"/>
        </w:rPr>
      </w:pPr>
      <w:r>
        <w:rPr>
          <w:rFonts w:ascii="Times New Roman" w:hAnsi="Times New Roman"/>
          <w:b/>
          <w:sz w:val="18"/>
        </w:rPr>
        <w:t xml:space="preserve">Chairman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Kodiak Sciences Inc. </w:t>
      </w:r>
    </w:p>
    <w:p>
      <w:pPr>
        <w:pStyle w:val="TextBody"/>
        <w:bidi w:val="0"/>
        <w:spacing w:before="0" w:after="0"/>
        <w:jc w:val="center"/>
        <w:rPr>
          <w:rFonts w:ascii="Times New Roman" w:hAnsi="Times New Roman"/>
          <w:b/>
          <w:sz w:val="18"/>
        </w:rPr>
      </w:pPr>
      <w:r>
        <w:rPr>
          <w:rFonts w:ascii="Times New Roman" w:hAnsi="Times New Roman"/>
          <w:b/>
          <w:sz w:val="18"/>
        </w:rPr>
        <w:t xml:space="preserve">1250 Page Mill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center"/>
        <w:rPr>
          <w:rFonts w:ascii="Times New Roman" w:hAnsi="Times New Roman"/>
          <w:b/>
          <w:sz w:val="18"/>
        </w:rPr>
      </w:pPr>
      <w:r>
        <w:rPr>
          <w:rFonts w:ascii="Times New Roman" w:hAnsi="Times New Roman"/>
          <w:b/>
          <w:sz w:val="18"/>
        </w:rPr>
        <w:t xml:space="preserve">(650) 281-0850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David Peinsipp</w:t>
            </w:r>
          </w:p>
          <w:p>
            <w:pPr>
              <w:pStyle w:val="TableContents"/>
              <w:bidi w:val="0"/>
              <w:spacing w:before="0" w:after="0"/>
              <w:jc w:val="center"/>
              <w:rPr>
                <w:rFonts w:ascii="Times New Roman" w:hAnsi="Times New Roman"/>
                <w:b/>
                <w:sz w:val="18"/>
              </w:rPr>
            </w:pPr>
            <w:r>
              <w:rPr>
                <w:rFonts w:ascii="Times New Roman" w:hAnsi="Times New Roman"/>
                <w:b/>
                <w:sz w:val="18"/>
              </w:rPr>
              <w:t>Alexander Gefter</w:t>
            </w:r>
          </w:p>
          <w:p>
            <w:pPr>
              <w:pStyle w:val="TableContents"/>
              <w:bidi w:val="0"/>
              <w:spacing w:before="0" w:after="0"/>
              <w:jc w:val="center"/>
              <w:rPr>
                <w:rFonts w:ascii="Times New Roman" w:hAnsi="Times New Roman"/>
                <w:b/>
                <w:sz w:val="18"/>
              </w:rPr>
            </w:pPr>
            <w:r>
              <w:rPr>
                <w:rFonts w:ascii="Times New Roman" w:hAnsi="Times New Roman"/>
                <w:b/>
                <w:sz w:val="18"/>
              </w:rPr>
              <w:t>Cooley LLP</w:t>
            </w:r>
          </w:p>
          <w:p>
            <w:pPr>
              <w:pStyle w:val="TableContents"/>
              <w:bidi w:val="0"/>
              <w:spacing w:before="0" w:after="0"/>
              <w:jc w:val="center"/>
              <w:rPr>
                <w:rFonts w:ascii="Times New Roman" w:hAnsi="Times New Roman"/>
                <w:b/>
                <w:sz w:val="18"/>
              </w:rPr>
            </w:pPr>
            <w:r>
              <w:rPr>
                <w:rFonts w:ascii="Times New Roman" w:hAnsi="Times New Roman"/>
                <w:b/>
                <w:sz w:val="18"/>
              </w:rPr>
              <w:t>3 Embarcadero Center, 20th Floor</w:t>
            </w:r>
          </w:p>
          <w:p>
            <w:pPr>
              <w:pStyle w:val="TableContents"/>
              <w:bidi w:val="0"/>
              <w:spacing w:before="0" w:after="0"/>
              <w:jc w:val="center"/>
              <w:rPr>
                <w:rFonts w:ascii="Times New Roman" w:hAnsi="Times New Roman"/>
                <w:b/>
                <w:sz w:val="18"/>
              </w:rPr>
            </w:pPr>
            <w:r>
              <w:rPr>
                <w:rFonts w:ascii="Times New Roman" w:hAnsi="Times New Roman"/>
                <w:b/>
                <w:sz w:val="18"/>
              </w:rPr>
              <w:t>San Francisco, California 94111</w:t>
            </w:r>
          </w:p>
          <w:p>
            <w:pPr>
              <w:pStyle w:val="TableContents"/>
              <w:bidi w:val="0"/>
              <w:spacing w:before="0" w:after="20"/>
              <w:jc w:val="center"/>
              <w:rPr>
                <w:rFonts w:ascii="Times New Roman" w:hAnsi="Times New Roman"/>
                <w:b/>
                <w:sz w:val="18"/>
              </w:rPr>
            </w:pPr>
            <w:r>
              <w:rPr>
                <w:rFonts w:ascii="Times New Roman" w:hAnsi="Times New Roman"/>
                <w:b/>
                <w:sz w:val="18"/>
              </w:rPr>
              <w:t>(415) 693-2000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8"/>
              </w:rPr>
            </w:pPr>
            <w:r>
              <w:rPr>
                <w:rFonts w:ascii="Times New Roman" w:hAnsi="Times New Roman"/>
                <w:b/>
                <w:sz w:val="18"/>
              </w:rPr>
              <w:t>John A. Borgeson</w:t>
            </w:r>
          </w:p>
          <w:p>
            <w:pPr>
              <w:pStyle w:val="TableContents"/>
              <w:bidi w:val="0"/>
              <w:spacing w:before="0" w:after="0"/>
              <w:jc w:val="center"/>
              <w:rPr>
                <w:rFonts w:ascii="Times New Roman" w:hAnsi="Times New Roman"/>
                <w:b/>
                <w:sz w:val="18"/>
              </w:rPr>
            </w:pPr>
            <w:r>
              <w:rPr>
                <w:rFonts w:ascii="Times New Roman" w:hAnsi="Times New Roman"/>
                <w:b/>
                <w:sz w:val="18"/>
              </w:rPr>
              <w:t>Executive Vice President and</w:t>
            </w:r>
          </w:p>
          <w:p>
            <w:pPr>
              <w:pStyle w:val="TableContents"/>
              <w:bidi w:val="0"/>
              <w:spacing w:before="0" w:after="0"/>
              <w:jc w:val="center"/>
              <w:rPr>
                <w:rFonts w:ascii="Times New Roman" w:hAnsi="Times New Roman"/>
                <w:b/>
                <w:sz w:val="18"/>
              </w:rPr>
            </w:pPr>
            <w:r>
              <w:rPr>
                <w:rFonts w:ascii="Times New Roman" w:hAnsi="Times New Roman"/>
                <w:b/>
                <w:sz w:val="18"/>
              </w:rPr>
              <w:t>Chief Financial Officer</w:t>
            </w:r>
          </w:p>
          <w:p>
            <w:pPr>
              <w:pStyle w:val="TableContents"/>
              <w:bidi w:val="0"/>
              <w:spacing w:before="0" w:after="0"/>
              <w:jc w:val="center"/>
              <w:rPr>
                <w:rFonts w:ascii="Times New Roman" w:hAnsi="Times New Roman"/>
                <w:b/>
                <w:sz w:val="18"/>
              </w:rPr>
            </w:pPr>
            <w:r>
              <w:rPr>
                <w:rFonts w:ascii="Times New Roman" w:hAnsi="Times New Roman"/>
                <w:b/>
                <w:sz w:val="18"/>
              </w:rPr>
              <w:t>Kodiak Sciences Inc.</w:t>
            </w:r>
          </w:p>
          <w:p>
            <w:pPr>
              <w:pStyle w:val="TableContents"/>
              <w:bidi w:val="0"/>
              <w:spacing w:before="0" w:after="0"/>
              <w:jc w:val="center"/>
              <w:rPr>
                <w:rFonts w:ascii="Times New Roman" w:hAnsi="Times New Roman"/>
                <w:b/>
                <w:sz w:val="18"/>
              </w:rPr>
            </w:pPr>
            <w:r>
              <w:rPr>
                <w:rFonts w:ascii="Times New Roman" w:hAnsi="Times New Roman"/>
                <w:b/>
                <w:sz w:val="18"/>
              </w:rPr>
              <w:t>1250 Page Mill Road</w:t>
            </w:r>
          </w:p>
          <w:p>
            <w:pPr>
              <w:pStyle w:val="TableContents"/>
              <w:bidi w:val="0"/>
              <w:spacing w:before="0" w:after="0"/>
              <w:jc w:val="center"/>
              <w:rPr>
                <w:rFonts w:ascii="Times New Roman" w:hAnsi="Times New Roman"/>
                <w:b/>
                <w:sz w:val="18"/>
              </w:rPr>
            </w:pPr>
            <w:r>
              <w:rPr>
                <w:rFonts w:ascii="Times New Roman" w:hAnsi="Times New Roman"/>
                <w:b/>
                <w:sz w:val="18"/>
              </w:rPr>
              <w:t>Palo Alto, California 94304</w:t>
            </w:r>
          </w:p>
          <w:p>
            <w:pPr>
              <w:pStyle w:val="TableContents"/>
              <w:bidi w:val="0"/>
              <w:spacing w:before="0" w:after="20"/>
              <w:jc w:val="center"/>
              <w:rPr>
                <w:rFonts w:ascii="Times New Roman" w:hAnsi="Times New Roman"/>
                <w:b/>
                <w:sz w:val="18"/>
              </w:rPr>
            </w:pPr>
            <w:r>
              <w:rPr>
                <w:rFonts w:ascii="Times New Roman" w:hAnsi="Times New Roman"/>
                <w:b/>
                <w:sz w:val="18"/>
              </w:rPr>
              <w:t>(650) 281-0850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or selling securityholders, of shares of registrant’s common stock, shares of registrant’s preferred stock, debt securities, warrants and/or units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agreement prospectus covering the offering, issuance and sale by us of up to a maximum aggregate offering price of $350,000,000 of shares of registrant’s common stock that may be offered, issued and sold from time to time under a distribution agreement (the “Distribution Agreement”), dated October 20, 2026, with J.P. Morgan Securities LLC, as agent (“J.P. Morgan”).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one or more prospectus supplements to the base prospectus. The prospectus relating to the Distribution Agreement immediately follows the base 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23695" cy="259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3695" cy="2590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or selling securityholders may offer and sell any combination of shares of our common stock, shares of our preferred stock, debt securities, warrants and units to purchase any of such securities, in one or more offerings at prices and on terms described in this prospectus. We or selling securityholders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a general description of the securities we or selling securityholders may offer. Each time we or selling securityholders offer securities pursuant to this prospectus,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or in the documents that we have incorporated by reference into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trading symbol “KOD.” On October 19, 2026, the last reported sale price of our common stock was $91.35 per share. The applicable prospectus supplement will contain information, where applicable, as to other listings, if any, on the Nasdaq Global Market or other securities market or other exchange of the securities, if any, covered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underwriters or dealers are involved in the sale of any securities with respect to which this prospectus is being delivered, the names of such agents, underwriters or dealers and any applicable fees, commissions, discounts and options to purchase additional shares will be set forth in a prospectus supplement. The price to the public of such securities and the net proceeds we or the selling securityholders expect to receive from such sale will also be set forth in a prospectus supplement. Unless the applicable prospectus supplement provides otherwise, we will not receive any proceeds from the sale of securities by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We are a “smaller reporting company” as defined under the U.S. federal securities laws and, as such, may elect to comply with certain reduced public company reporting requirements. See the section titled “Prospectus Summary - Implications of Being a Smaller Reporting Company.”</w:t>
      </w:r>
    </w:p>
    <w:p>
      <w:pPr>
        <w:pStyle w:val="TextBody"/>
        <w:bidi w:val="0"/>
        <w:spacing w:before="240" w:after="0"/>
        <w:jc w:val="left"/>
        <w:rPr/>
      </w:pPr>
      <w:r>
        <w:rPr>
          <w:rFonts w:ascii="Times New Roman" w:hAnsi="Times New Roman"/>
          <w:b/>
          <w:i/>
          <w:sz w:val="24"/>
        </w:rPr>
        <w:t>Investing in our securities involves a high degree of risk. Before making an investment decision, you should review carefully the risks and uncertainties described under the section titled “</w:t>
      </w:r>
      <w:hyperlink w:anchor="toca143488_3">
        <w:r>
          <w:rPr>
            <w:rStyle w:val="InternetLink"/>
            <w:rFonts w:ascii="Times New Roman" w:hAnsi="Times New Roman"/>
            <w:b/>
            <w:i/>
            <w:sz w:val="24"/>
          </w:rPr>
          <w:t>Risk Factors</w:t>
        </w:r>
      </w:hyperlink>
      <w:r>
        <w:rPr>
          <w:rFonts w:ascii="Times New Roman" w:hAnsi="Times New Roman"/>
          <w:b/>
          <w:i/>
          <w:sz w:val="24"/>
        </w:rPr>
        <w:t xml:space="preserve">” on page 13 of this prospectus and any similar section contained in the applicable prospectus supplement and in any free writing prospectuses we have authorized for use in connection with a specific offering,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20,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1">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a143488_16">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a14348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have filed with the Securities and Exchange Commission (the “SEC”) as a “well-known seasoned issuer” as defined in Rule 405 under the Securities Act of 1933, as amended (the “Securities Act”), using a “shelf” registration process. Under this shelf registration statement, we or the selling securityholders may, from time to time, offer and sell, either individually or in combination, in one or more offerings, any combination of the securities described in this prospectus. No limit exists on the aggregate number or amount of securities we or the selling securityholders may sell pursuant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or the selling securityholders may offer. Each time we or the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We urge you to read carefully this prospectus, any applicable prospectus supplement and any free writing prospectuses we may authorize for use in connection with a specific offering, together with the documents incorporated by reference into this prospectus as described under the sections titled “Where You Can Find More Information” and “Incorporation by Reference,” before investing in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other person to provide you with any information other than that contained or incorporated by reference in this prospectus, any related prospectus supplement and any related free writing prospectus that we may authorize to be provided to you. We take no responsibility for, and can provide no assurance as to the reliability of, any other information that others may give you.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contained in this prospectus, any related prospectus supplement and in any free writing prospectus that we may authorize for use in connection with a specific offering and the documents incorporated by reference into this prospectus is accurate only as of the date of those respective documents, regardless of the time of delivery of the respective document or of any sale of securities covered by this prospectus. Our business, financial condition, results of operations and prospects may have changed since those dates. You should not assume that the information contained in or incorporated by reference in this prospectus, in any related prospectus supplement or in any free writing prospectus that we may authorize for use in connection with a specific offering, is accurate as of any date other than the respective dates thereof. You should read this prospectus, any related prospectus supplement, any free writing prospectus that we may authorize for use in connection with this offering and the documents incorporated by reference into this prospectus as described under the sections titled “Where You Can Find More Information” and “Incorporation by Reference”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our securities only in jurisdictions where offers and sales are permitted. The distribution of this prospectus, any related prospectus supplement and any free writing prospectus we may authorize and the offering of our securities in certain jurisdictions may be restricted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outside the United States who come into possession of this prospectus, any related prospectus supplement and any free writing prospectus we may authorize must inform themselves about, and observe any restrictions relating to, the offering of our securities and the distribution of this prospectus, any related prospectus supplement and any free writing prospectus we may authorize outside the United States. This prospectus, any related prospectus supplement and any free writing prospectus we may authorize do not constitute, and may not be used in connection with, an offer to sell, or a solicitation of an offer to buy, any securities offered by this prospectus, any related prospectus supplement and any free writing prospectus we may authorize by any person in any jurisdiction in which it is unlawful for such person to make such an offer or solicitation. 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sections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“Kodiak Sciences,” “Kodiak,” “we,” “our,” “us” and “the Company” in this prospectus, we mean Kodiak Sciences Inc. and its consolidated subsidiaries, unless otherwise specified. When we refer to “you,” we mean the potential holders of the applicable series of securities. </w:t>
      </w:r>
    </w:p>
    <w:p>
      <w:pPr>
        <w:pStyle w:val="TextBody"/>
        <w:bidi w:val="0"/>
        <w:spacing w:before="240" w:after="0"/>
        <w:jc w:val="left"/>
        <w:rPr/>
      </w:pPr>
      <w:r>
        <w:rPr/>
        <w:t>“</w:t>
      </w:r>
      <w:r>
        <w:rPr>
          <w:rFonts w:ascii="Times New Roman" w:hAnsi="Times New Roman"/>
          <w:sz w:val="20"/>
        </w:rPr>
        <w:t xml:space="preserve">Kodiak”, “Kodiak Sciences”, the Kodiak logo and other trade names, trademarks or service marks of Kodiak are the property of Kodiak Sciences Inc. This prospectus also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 Solely for convenience, the trade names and trademarks may be referred to without the ® and  symbols, but such references should not be construed as any indicator that their respective owners will not assert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a143488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Except as otherwise indicated herein or as the context otherwise requires, references in this prospectus to “Kodiak Sciences,” “Kodiak,” “we,” “our,” “us,” “the Company” and similar references refer to Kodiak Sciences Inc., a corporation under the laws of the State of Delaware and its consolidated subsidiaries, unless otherwise specified.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Kodiak Sciences Inc. is a precommercial retina-focused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our discovery engine. We are developing a portfolio of three late-stage clinical programs, two of which are derived from our ABC platform and one which is platform-independent.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investigational medicine, Zenkuda (tarcocimab tedromer), is an anti-vascular endothelial growth factor (“VEGF”) biopharmaceutical built on Kodiak’s proprietary ABC platform for intravitreal administration. Zenkuda has a mean ocular half-life in humans of 20 days, approximately three times longer than approved anti-VEGF therapies and is designed to maintain potent and effective drug levels in ocular tissues for longer. Zenkuda is being developed as a mainstay intravitreal biologic monotherapy that provides rapid initial effect and real-world durability, driven by the ABC platform and Kodiak’s science of durability, with the ultimate objective of providing, once approved, a flexible 1-month through 6-month label for all patients with retinal vascular disease (treatment-naïve, treatment-experienced, mild patients, and severe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Zenkuda has completed five successful Phase 3 pivotal studies: the Phase 3 DAYBREAK and DAYLIGHT studies in wet age-related macular degeneration (“wet AMD”), the Phase 3 GLOW1 and GLOW2 studies in diabetic retinopathy (“DR”) and the Phase 3 BEACON study in retinal vein occlusion (“RVO”). In the DAYBREAK study, Zenkuda met the primary endpoint (p-value of 0.0007) demonstrating meaningful vision gains as well as rapid and sustained retinal drying with the majority of patients (54%) on 6-month dosing, establishing a first-line benchmark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We are planning to submit a three-indication (wet AMD, DR, and RVO) biologics license application (“BLA”) for Zenkuda in the fourth quarter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Tabirafusp alfa tedromer (“KSI-501”), our second investigational medicine, is an anti-IL-6, VEGF-trap bispecific therapy built on the ABC platform and is being developed for high prevalence retinal vascular diseases to address the leading unmet needs of extended durability and targeting disease biology beyond VEGF for differentiated efficacy. Tabirafusp-ted is designed to provide high immediacy/efficacy, driven by the enhanced formulation, and high durability, driven by the ABC platform and our science of durability.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advanced tabirafusp-ted into the registrational Phase 3 DAYBREAK study to evaluate its efficacy and safety in wet AMD. DAYBREAK uses tabirafusp-ted’s enhanced 50 mg/mL formulation containing both conjugated and unconjugated antibody that is intended to balance immediacy and durability. In the DAYBREAK study, tabirafusp-ted met the vision primary endpoint (p-value of 0.0036) and anatomical key secondary endpoint (p-value of &lt;0.0001). Kodiak has also advanced tabirafusp-ted into the registrational Phase 3 ALTO study designed to explore the superiority of bispecific tabirafusp-ted (anti-VEGF, anti-IL-6) versus monospecific aflibercept (anti-VEGF) in patients with diabetic macular edema (“DME”). The ALTO study is now enrolling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KSI-101, our third investigational medicine, is a novel, potent and high strength (100 mg/mL) antibody-based therapy with a bispecific mechanism of action targeting both IL-6 and VEGF. We are developing KSI-101 for patients with macular edema (retinal fluid) secondary to inflammation (“MESI”). MESI is a heterogeneous group of diseases that clinically present with macular edema and visual impairment which are caused by a common pathophysiology of 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 Currently there are no available intravitreal biologic therapies addressing the spectrum of MESI diseases. Existing therapies remain limited by side effects and tolerability, underscoring the need for safer and more effective treatment options. MESI represents a new macular edema market segment separate from the established anti-VEGF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Data from our dose-finding Phase 1b APEX study demonstrated robust anatomical and visual responses across MESI patients. More than half of patients achieved ≥15-letter gains in best corrected visual acuity, with additional benefit at higher dose levels. Rapid vision improvements and anatomical response were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Enrollment of the first 300-patient cohort in the PEAK trial supporting Pivotal Analysis 1 has completed and topline results remain on track for a December 2026 release. Completion of enrollment in the second pivotal cohort evaluating 600 subjects across the PEAK and PINNACLE studies is expected in the fourth quarter of 2026, with topline clinical data release anticipated in the second quarter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Beyond our late-stage clinical portfolio, we are advancing our platform technology to embed small molecules and other active pharmaceutical ingredients (“API”), into Kodiak’s proprietary biopolymer backbone to enable high drug-antibody ratio (“DAR”) medicines. The diverse APIs are designed to be released over time to achieve targeted, multi-specific and tailored modulation of biological pathways. We believe this unique combination of high DAR and extended therapeutic benefit offers potential for broad and important utility for multifactorial ophthalmic and systemic diseases. We call this platform extension our Antibody Biopolymer Conjugate Drug (“ABCD”) platform because we are extending our platform capabilities to include the conjugation of small molecule drugs whereas historically we primarily conjugated biologics such as antibodies.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ABCD platform is advancing a next set of investigational therapies for high prevalence retinal diseases, including our novel “duet” technology for glaucoma and geographic atrophy (“GA”).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made significant investments in commercial manufacturing that have positioned us well for potential launch of multiple ABC products into large and growing markets. We commissioned URSUS as a cGMP facility in January 2023. URSUS is a custom-designed premium commercial manufacturing facility dedicated to the large scale manufacture of Kodiak’s ABC medicines, built in collaboration with Lonza, a leading drug contract manufacturing firm.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 Our progress is reflective of our long-term planning and execution towards an enhanced identity as a vision sciences company, integrating proprietary therapeutics and next-generation vision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date, we have retained all global rights to make, use and sell our product candidates, which we believe preserves future value and allows for agile decision-making. Our objective is to develop our retina-focused product candidates, seek approval from the United States Food and Drug Administration (“FDA”) and ultimately commercialize our product candidates in major 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Zenkuda (tarcocimab tedromer) Clinical Program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Zenkuda has completed five successful Phase 3 pivotal studies: the Phase 3 DAYBREAK and DAYLIGHT studies in wet AMD, the Phase 3 GLOW1 and GLOW2 studies in DR and the Phase 3 BEACON study in RVO. During 2026, topline results for DAYBREAK and GLOW2 were released, with both studies meeting their primary endpoints. We are planning to submit a three-indication (wet AMD, DR, and RVO) BLA for Zenkuda in the fourth quarter of 2026.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DAYBREAK (and Zenkuda)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3 DAYBREAK study was a non-inferiority study evaluating parallel investigational arms of Zenkuda and KSI-501 against active comparator aflibercept. Patients randomized to Zenkuda received individualized dosing every 4 to 24 weeks on an as needed basis following four monthly loading doses. Patients randomized to aflibercept were dosed per label. The individualized dosing of Zenkuda was determined by a treat-to-dryness proactive approach using the presence of retinal fluid as a disease activity marker, which resembles retina specialists’ practice and optimizes each patient’s treatment, instead of using a combination of central subfield thickness and vision loss. Specific objectives for Zenkuda in DAYBREAK were (1) to assess safety, (2) to meet the primary endpoint of non-inferiority of best corrected visual acuity, (3) to explore the strength of fluid control vision gain through the loading phase, and (4) to demonstrate a differentiated, real-world durability profile. General objectives for Zenkuda in DAYBREAK were to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The Phase 3 DAYBREAK study met the one-year primary endpoint of non-inferiority of best corrected visual acuity in September 2026.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GLOW1 and GLOW2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eyes improving by ≥2 steps on the Diabetic Retinopathy Severity Scale (“DRSS”) from baseline to Week 48. Additional outcome measures included the proportion of eyes developing a sight-threatening complication of diabetic retinopathy and the proportion of eyes improving ≥3 steps on DRSS from baseline to Week 48.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 0.0001).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BEACON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BEACON was a randomized, double-masked, multicenter, active comparator-controlled Phase 3 clinical trial in treatment naïve patients with vision loss and macular edema due to retinal vein occlusion, including both branch and central subtypes. BEACON randomized 568 participants 1:1 into two treatment arms: tarcocimab tedromer 5 mg versus aflibercept 2mg. In the initial six months of the study, patients received Kodiak’s tarcocimab tedromer 5 mg on a fixed every 8-week dosing regimen following only 2 monthly loading doses or aflibercept 2 mg on a fixed monthly (every 4-week) dosing regimen per its label. In the second six months of the study, tarcocimab and aflibercept were tested head-to-head according to a </w:t>
      </w:r>
      <w:r>
        <w:rPr>
          <w:rFonts w:ascii="Times New Roman" w:hAnsi="Times New Roman"/>
          <w:i/>
          <w:sz w:val="20"/>
          <w:bdr w:val="single" w:sz="8" w:space="1" w:color="000000"/>
        </w:rPr>
        <w:t>pro re nata</w:t>
      </w:r>
      <w:r>
        <w:rPr>
          <w:rFonts w:ascii="Times New Roman" w:hAnsi="Times New Roman"/>
          <w:sz w:val="20"/>
          <w:bdr w:val="single" w:sz="8" w:space="1" w:color="000000"/>
        </w:rPr>
        <w:t xml:space="preserve"> (PRN) protocol in which patients in both groups were treated only when disease reactivated according to matched predefined disease activity criteria. BEACON met its primary endpoint at Week 24, demonstrating non-inferior visual acuity gains with tarcocimab every 8 weeks after two monthly loading doses versus monthly aflibercept. One-year results showed comparable vision and anatomical outcomes, with nearly half of tarcocimab-treated patients requiring no injections during the second six months. Safety and tolerability were comparable between groups.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DAYLIGHT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3 DAYLIGHT study was a randomized, double-masked, active comparator-controlled study designed to evaluate the efficacy and safety of a high intensity dosing regimen of tarcocimab tedromer in 557 treatment-naïve subjects with wet AMD. The DAYLIGHT study met the primary endpoint of non-inferior visual acuity gains for tarcocimab dosed monthly compared to aflibercept dosed every 8 weeks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3 monthly loading doses. Tarcocimab was safe and well tolerated in the study and with a low rate of intraocular inflammation.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Tabirafusp-ted Clinical Program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Tabirafusp-ted has completed one successful Phase 3 pivotal study, DAYBREAK, and is currently being evaluated in another study, ALTO.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DAYBREAK (and tabirafusp-ted)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DAYBREAK study was a non-inferiority study evaluating parallel investigational arms of KSI-501 and Zenkuda against active comparator aflibercept. Patients randomized to KSI-501 received fixed every 8-week dosing with additional individualized dosing (up to monthly dosing) on an as needed basis after four monthly loading doses. Patients randomized to aflibercept were dosed per label. Using the same treat-to-dryness approach as Zenkuda, coupled with fixed intensive proactive dosing, the goal was to maximize both the probability of meeting the primary endpoint as well as the probability of demonstrating additional efficacy benefits. The primary endpoint was non-inferiority in change in visual acuity from baseline to the average of Week 40, 44 and 48. The objective for KSI-501 in DAYBREAK was to explore the efficacy potential of bispecific IL-6 and VEGF inhibition in a broad treatment-naïve wet AMD population. The Phase 3 DAYBREAK study met the one-year primary endpoint of non-inferiority of best corrected visual acuity in September 2026.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ALTO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ALTO Study is a global, multicenter, randomized, double-masked, active comparator-controlled Phase 3 study evaluating the efficacy and safety of intravitreal tabirafusp-ted 5 mg compared with intravitreal aflibercept 2 mg in patients with visual impairment secondary to center-involved DME. Approximately 910 patients, treatment-naïve or previously treated, will be randomized 5:3:5 to one of three arms: (A) tabirafusp-ted 5 mg every 8 weeks, with monthly assessment for additional individualized dosing, following six monthly loading doses; (B) tabirafusp-ted 5 mg on an individualized regimen of every 4 to 24 weeks, following six monthly loading doses; and (C) aflibercept 2 mg every 8 weeks, following five monthly loading doses.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primary endpoint is the mean change in best-corrected visual acuity from baseline to the average of Week 48 and Week 52. The key secondary endpoint is the proportion of patients improving two or more steps on the DRSS from baseline at Week 48. Additional secondary and exploratory endpoints evaluate visual function, retinal anatomy, treatment burden and durability, and safety. Participants will be treated and followed for approximately 96 weeks.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KSI-101 Clinical Program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Data from our dose-finding Phase 1b APEX study demonstrated robust anatomical and visual responses across MESI patients. The top two dose levels in APEX have been advanced into the Phase 3 pivotal studies, PEAK and PINNACLE. We plan to file a BLA for KSI-101 in the second quarter of 2027 supported by the PEAK and PINNACLE studies in MESI, if successful.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About PEAK and PINNACLE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edema and any vision impairment), as well as patients with moderate to severe macular edema with good vision. Together, PEAK and PINNACLE are designed to enroll complementary patient populations and to cover a wide spectrum of MESI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We have completed enrollment of the first 300-patient pivotal cohort in the PEAK trial, supporting Pivotal Analysis 1, with topline clinical data from the 24-week primary endpoint on track for a December 2026 release. Completion of enrollment in the second pivotal cohort, evaluating 600 patients across the PEAK and PINNACLE studies, is expected in the fourth quarter of 2026, with topline clinical data release anticipated in the second quarter of 2027.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Pre-IND Pipeline Programs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advancing two programs using our ABCD platform and “duet” technology, targeting glaucoma and geographic atrophy.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second program is for the treatment of geographic atrophy. There are two approved therapies, both complement inhibitors, and they require monthly or every other month intravitreal injections and neither sufficiently halts disease progression. This program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retina duet programs in glaucoma and GA built with our ABCD platform continue to progress towards IND.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in June 2009 in Delaware as a limited liability company. In September 2015, we converted to a Delaware corporation and, in connection with the conversion, changed our name to “Kodiak Sciences Inc.” Our principal executive office is located at 1250 Page Mill Road, Palo Alto, California 94304. Our telephone number is (650) 281-0850.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an internet website at the following address: www.kodiak.com. The information on our website is not incorporated by reference into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Item 10(f)(1) of Regulation S-K. As of June 30, 2025, we qualified as a smaller reporting company because the market value of our common stock held by non-affiliates as of such date was less than $700 million and our annual revenues for the fiscal year ended December 31, 2024 were less than $100 million. As of June 30, 2026, the market value of our common stock held by non-affiliates exceeded $700 million, and we therefore determined that we no longer qualified as a smaller reporting company. However, under applicable SEC transition rules, we remain eligible to use the disclosure requirements applicable to smaller reporting companies through the end of fiscal year 2026, including in our Annual Report on Form 10-K for the year ending December 31, 2026. We will cease to be eligible to use those requirements beginning with our Quarterly Report on Form 10-Q for the quarter ending March 31, 2027. While we remain eligible to use the disclosure requirements applicable to smaller reporting companies, we may provide less public disclosure than larger public companies, including only two years of audited financial statements and only two years of related management’s discussion and analysis of financial condition and results of operations disclosure. As a result, the information that we provide to our stockholders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 selling securityholders may offer shares of our common stock and preferred stock, debt securities, warrants to purchase any of such securities, either individually or as units in combination, from time to time in one or more offerings under this prospectus, together with any applicable prospectus supplement and any related free writing prospectus, at prices and on terms to be determined by market conditions at the time of any offering. We or selling securityholders may also offer common stock, preferred stock and/or debt securities upon the exercise of warrants. There is no limit on the aggregate number or amount of securities we or selling securityholders may sell pursuant to the registration statement of which this prospectus is a part.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date,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 selling securityholders may sell the securities directly to investors or to or through agents, underwriters or dealers. We and our agents or underwriters reserve the right to accept or reject all or part of any proposed purchase of securities. If we or selling securityholders do offer securities to or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Common Stock</w:t>
      </w:r>
      <w:r>
        <w:rPr>
          <w:rFonts w:ascii="Times New Roman" w:hAnsi="Times New Roman"/>
          <w:sz w:val="20"/>
          <w:bdr w:val="single" w:sz="8" w:space="1" w:color="000000"/>
        </w:rPr>
        <w:t xml:space="preserve">. We may issue shares of our common stock from time to time. Each holder of our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Subject to preferences that may be applicable to any then-outstanding preferred stock, holders of common stock are entitled to receive ratably such dividends, if any, as may be declared from time to time by our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 Holders of common stock have no preemptive or conversion rights or other subscription rights and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 In this prospectus, we have summarized certain general features of our common stock under the heading “Description of Capital Stock—Common Stock.” We urge you, however, to read the applicable prospectus supplement (and any related free writing prospectus that we may authorize to be provided to you) related to any common stock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Any convertible preferred stock we may issue will be convertible into our common stock or exchangeable for other securities. Conversion may be mandatory or at the holder’s option and would be at prescribed conversion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sell any series of preferred stock under this prospectus, we will fix the designations, voting powers, preferences and rights of such series of preferred stock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the heading “Description of Capital Stock—Preferred Stock.” We urge you, however,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our other securities. Conversion or exchange may be mandatory or optional (at our option or the holders’ option) and would be at prescribed conversion or exchange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 and any supplemental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Warrants</w:t>
      </w:r>
      <w:r>
        <w:rPr>
          <w:rFonts w:ascii="Times New Roman" w:hAnsi="Times New Roman"/>
          <w:sz w:val="20"/>
          <w:bdr w:val="single" w:sz="8" w:space="1" w:color="000000"/>
        </w:rPr>
        <w:t xml:space="preserve">. We may issue warrants for the purchase of common stock, preferred stock and/or debt securities in one or more series. We may issue warrants independently or in combination with common stock, preferred stock and/or debt securities, and the warrants may be attached to or separate from these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as applicable, that contain the terms of the warrants. We have filed forms of the warrant agreements and forms of warrant certificates containing the terms of the warrants that may be offered as exhibits to the registration statement of which this prospectus is a part.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Units</w:t>
      </w:r>
      <w:r>
        <w:rPr>
          <w:rFonts w:ascii="Times New Roman" w:hAnsi="Times New Roman"/>
          <w:sz w:val="20"/>
          <w:bdr w:val="single" w:sz="8" w:space="1" w:color="000000"/>
        </w:rPr>
        <w:t xml:space="preserve">. 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security included in such unit. In this prospectus, we have summarized certain general features of the units. We urge you, however, to read the applicable prospectus supplement (and any free writing prospectus that we may authorize to be provided to you) related to the particular series of units being offered, as well as the complete unit agreements that contain the terms of the units as applicable. A form of the unit agreement, as applicable, containing the terms of the unit being offered will be filed as an exhibit to the registration statement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units may be issued under an applicable unit agreement that we enter into with a unit agent. We will indicate the name and address of the unit agent, if applicable, in the prospectus supplement relating to the particular series of units being offered.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Selling Securityholders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Selling securityholders are persons or entities that, directly or indirectly, have acquired or will from time to time acquire from us, our securities. Information about selling securityholders, if any, will be set forth in a prospectus supplement. See the section titled “Selling Securityholders”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retain broad discretion over the use of the net proceeds from the sale of the securities offered hereby. We intend to use the net proceeds we receive from the sale of securities by us as set forth in the applicable prospectus supplement or in any free writing prospectuses we have authorized for use in connection with a specific offering. See the section titled “Use of Proceeds” in this prospectus. Unless the applicable prospectus supplement provides otherwise, we will not receive any of the proceeds from the sale of our securities by selling securityholders.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Global Market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Nasdaq Global Market under the symbol “KOD.” The applicable prospectus supplement will contain information, where applicable, as to other listings, if any, on the Nasdaq Global Market or other securities exchange of the securities covered by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a143488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subsequent Quarterly Reports on Form 10-Q, as well as any amendments thereto reflected in subsequent filings with the SEC, which are incorporated by reference into this prospectus in their entirety, as updated or superseded by the risks and uncertainties described under similar headings in the other documents that are filed after the date hereof and incorporated by reference into this prospectus, together with the other information in this prospectus, the documents incorporated by reference and any applicable prospectus supplement or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a143488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herein contain “forward-looking statements” within the meaning of Section 27A of the Securities Act, and Section 21E of the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forward-looking statements are subject to a number of known and unknown risks, uncertainties and assumptions, including risks described in the section titled “Risk Factors” and elsewhere in this prospectus and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Forward-looking statements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timing of our development activities, preclinical studies, clinical trials and regulatory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including funding necessary to develop, manufacture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our preclinical results and data and early clinical trial results in particular relating to safety, efficacy and durability into future clinical trials in humans;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durability, efficacy and safety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progress each of our product candidates, including tarcocimab, KSI-501 and KSI-101, into later stages of development and towards a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any product candidates we have or may develop, and conducting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size and design of clinical trials that regulatory authorities may require to obtain marketing approval, including the order and number of clinical studies required to support a BLA in RVO, DR, and wet AMD, or any of our current or future product candidates, including the sufficiency of a single additional pivotal study of tarcocimab tedromer and a single BLA for wet AMD, RVO and DR 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Lonza’s ability to successfully execute on our manufacturing development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chemistry manufacturing and controls requirements of the FDA and other regulatory bodies to support any BLA submission and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enhancements and benefits of new formulations of tarcocimab, KSI-501, KSI-101 or other ABC Platform derived molecules;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and any related restrictions, limitations and/or warnings in the label of any approved product candidate;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if approved for commercial use,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products or platform technologies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establish sales, marketing and distribution infrastructure to commercialize any product candidates for which we obtain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as to the concentration of retinal specialists in the United States and its impact on our sales and marketing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claims relating to our intellectual property and third-party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unfavorable U.S. and global economic conditions on our business and operations, the business and operations of our collaborators, and on the global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the sufficiency of our cash resources, expenses, future revenue, capital requirements and needs for additional financing, as well as,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aspirational goals and objectives related to our human capital resources and workforce objectives, including our ability to attract and retain key managerial, scientific and medical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risks are not exhaustive. Other sections of this prospectus may include additional factors that could harm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such factors on our business or the extent to which any such factor, or combination of such factors, may cause actual results to differ from those contained in, or implied by,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containing the words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any applicable prospectus supplement, together with the documents we have filed with the SEC that are incorporated by reference herein and therein and any free writing prospectuses that we may authorize for use in connection with a specific offering completely and with the understanding that our actual future results, levels of activity, performance and achievements may be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a14348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any prospectus supplement or in any related free writing prospectus that we may authorize to be provided to you in connection with a specific offering, we currently intend to use the net proceeds from the sale of securities under this prospectus for working capital, capital expenditures, operating expenditures, and general corporate purposes.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investment-grade, interest-bearing securities. Unless the applicable prospectus supplement provides otherwise, we will not receive any of the proceeds from the sale of our securities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a143488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describes our capital stock and the material provisions of our amended and restated certificate of incorporation and our amended and restated bylaws and the applicable provisions of the Delaware General Corporation Law (the “DGCL”). Because the following is only a summary, it does not contain all of the information that may be important to you. For a complete description, you should refer to our amended and restated certificate of incorporation and amended and restated bylaws, each of which has been publicly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we are authorized to issue up to 500,000,000 shares, consisting of 490,000,000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The election of directors by our stockholders shall be determined by a plurality of the votes cast and our stockholders do not have cumulative voting rights in the election of directors. Other matters shall be generally decided by the affirmative vote of the holders of a majority of the votes cast (excluding abstentions and broker non-votes) on such matter. In addition, the affirmative vote of holders of 66 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our common stock are entitled to receive dividends as may be declared from time to time by our board of directors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without further action by our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at any time by our board of directors, but such special meetings may not be called by the stockholders or any other person or persons.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precludes stockholder action by written consent and requires stockholder actions to be taken at an annual or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Classified Board; Election and Removal of Directors;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with the classes divided as nearly as equal in number as possible.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voting power of the shares entitled to vote in the election of directors will generally be able to elect all of our directors standing for election at any annual meeting. Our amended and restated certificate of incorporation provides for the removal of any of our directors only for cause and requires a stockholder vote by the holders of at least 66 2/3% of the voting power of our then outstanding shares of capital stock entitled to vote generally in the election of directors, voting together as a single class. Furthermore, any vacancy on our board of directors, however occurring, including a vacancy resulting from an increase in the authorized number of directors of the board, may be filled only by the affirmative vote of a majority of the directors then in office, even if less than a quorum, or by a sole remaining director, unless the board of directors determines that such vacancy or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the selection of an alternative forum, the Court of Chancery of the State of Delaware will be the sole and exclusive forum for the following types of actions or proceedings under Delaware statutory or common law: any derivative action or proceeding brought on our behalf; any action asserting a claim of breach of a fiduciary duty owed by any of our directors, officers or other employees to us or to our stockholders; any action asserting a claim against us arising pursuant to any provision of the DGCL,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will be the sole and exclusive forum for the resolution of any complaint asserting a cause of action against us or any of our directors, officers, employees or agents and arising under the Securities Act. The exclusive forum provisions of our amended and restated bylaws do not apply to claims arising under the Exchange Act, for which the federal district courts of the United States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If any action the subject matter of which is within the scope of the exclusive forum provisions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bylaws and to having service of process made upon such stockholder in any such action by service upon such stockholder’s counsel in the Foreign Action as agent for such stockholder. Although our amended and restated bylaws contain the choice of forum provision described above, it is possible that a court could find that one or more of these provisions are inapplicable to a particular claim or action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in our amended and restated certificate of incorporation, except for the provision authorizing our board of directors to issue undesignated preferred stock, requires approval by a stockholder vote by the holders of at least a 66 2/3% of the voting power of our then outstanding shares of capital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The transfer agent for any series of preferred stock that we or selling securityholders may offer under this prospectus will be named and described in the applicable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Global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“KOD.” The applicable prospectus supplement will contain information, where applicable, as to any other listing, if any, on the Nasdaq Global Market or any securities market or other exchange of the preferred stock covered by such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a143488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either the senior indenture or the subordinated indenture that we will enter into with the trustee named in the applicable indenture. If we offer senior debt securities, we will issue them under the senior indenture. If we issue subordinated debt securities, we will issue them under the subordinated indenture. We have filed the forms of indentures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 of 1939, as amended (the “Trust Indenture Act”). Unless the context requires otherwise, whenever we refer to the indenture, we are referring to the senior indenture or the subordinated indenture, as applicable, and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indentures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12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a143488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in more detail in the applicable prospectus supplement and any applicable free writing prospectus.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payment and the warrant or warrant certificate, as applicable, properly completed and duly executed at the corporate trust office of the warrant agent, if any, or any other office, including ours, indicated in the applicable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specify in the applicable prospectus supplement, the warrants and any warrant agreements and any claim, controversy or dispute arising under or related to the warrants or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a143488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While the terms summarized below will apply generally to any units we may offer, we will describe the particular terms of any series of units in more detail in the applicable prospectus supplement.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each unit and to any common stock, preferred stock, debt security or warrant included in each unit,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a143488_10"/>
      <w:bookmarkEnd w:id="12"/>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or unit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depositary participants or customers or by law, to pass it along to the indirect holders but does not do so. Similarly, we may want to obtain the approval of the legal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a global security, nor do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a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brokers or other financial institutions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a143488_11"/>
      <w:bookmarkEnd w:id="13"/>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the applicable prospectus supplement, in a post-effective amendment or in other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a143488_12"/>
      <w:bookmarkEnd w:id="1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or selling securityholders may sell the securities to or through underwriters or dealers, through agents, or directly to one or more purchasers or through a combination of any of these methods of sale. We or selling securityholders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at-the-market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selling securityholders,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or any selling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selling securityholders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related to this offering, including liabilities under the Securities Act, or contribution with respect to payments that the agents, underwriters or dealers may make with respect to these liabilities. Agents, underwriters and dealers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be deemed to be underwriters under the Securities Act in connection with the securities they resell and any profits on the sales may be deemed to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Global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a143488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will pass upon certain legal matters in connection with this offering and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6" w:name="toca143488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substantial doubt about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7" w:name="toca143488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maintain a website at www.kodiak.com. The information contained in, or that can be accessed through, our website is not part of this prospectus. </w:t>
      </w:r>
    </w:p>
    <w:p>
      <w:pPr>
        <w:pStyle w:val="TextBody"/>
        <w:bidi w:val="0"/>
        <w:spacing w:before="480" w:after="0"/>
        <w:jc w:val="center"/>
        <w:rPr>
          <w:rFonts w:ascii="Times New Roman" w:hAnsi="Times New Roman"/>
          <w:b/>
          <w:sz w:val="20"/>
        </w:rPr>
      </w:pPr>
      <w:bookmarkStart w:id="18" w:name="toca143488_16"/>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June 30, 2026 and March 31, 2026, filed with the SEC on </w:t>
            </w:r>
            <w:hyperlink r:id="rId4">
              <w:r>
                <w:rPr>
                  <w:rStyle w:val="InternetLink"/>
                  <w:rFonts w:ascii="Times New Roman" w:hAnsi="Times New Roman"/>
                  <w:sz w:val="20"/>
                </w:rPr>
                <w:t>August  13, 2026</w:t>
              </w:r>
            </w:hyperlink>
            <w:r>
              <w:rPr>
                <w:rFonts w:ascii="Times New Roman" w:hAnsi="Times New Roman"/>
                <w:sz w:val="20"/>
              </w:rPr>
              <w:t xml:space="preserve"> and </w:t>
            </w:r>
            <w:hyperlink r:id="rId5">
              <w:r>
                <w:rPr>
                  <w:rStyle w:val="InternetLink"/>
                  <w:rFonts w:ascii="Times New Roman" w:hAnsi="Times New Roman"/>
                  <w:sz w:val="20"/>
                </w:rPr>
                <w:t>May 7, 2026</w:t>
              </w:r>
            </w:hyperlink>
            <w:r>
              <w:rPr>
                <w:rFonts w:ascii="Times New Roman" w:hAnsi="Times New Roman"/>
                <w:sz w:val="20"/>
              </w:rPr>
              <w:t xml:space="preserv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March 27, 2026</w:t>
              </w:r>
            </w:hyperlink>
            <w:r>
              <w:rPr>
                <w:rFonts w:ascii="Times New Roman" w:hAnsi="Times New Roman"/>
                <w:sz w:val="20"/>
              </w:rPr>
              <w:t xml:space="preserve">, </w:t>
            </w:r>
            <w:hyperlink r:id="rId7">
              <w:r>
                <w:rPr>
                  <w:rStyle w:val="InternetLink"/>
                  <w:rFonts w:ascii="Times New Roman" w:hAnsi="Times New Roman"/>
                  <w:sz w:val="20"/>
                </w:rPr>
                <w:t>June  4, 2026</w:t>
              </w:r>
            </w:hyperlink>
            <w:r>
              <w:rPr>
                <w:rFonts w:ascii="Times New Roman" w:hAnsi="Times New Roman"/>
                <w:sz w:val="20"/>
              </w:rPr>
              <w:t xml:space="preserve">, and </w:t>
            </w:r>
            <w:hyperlink r:id="rId8">
              <w:r>
                <w:rPr>
                  <w:rStyle w:val="InternetLink"/>
                  <w:rFonts w:ascii="Times New Roman" w:hAnsi="Times New Roman"/>
                  <w:sz w:val="20"/>
                </w:rPr>
                <w:t>September 28,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w:t>
            </w:r>
            <w:hyperlink r:id="rId9">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2025, filed with the SEC on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1250 Page Mill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94304 </w:t>
      </w:r>
    </w:p>
    <w:p>
      <w:pPr>
        <w:pStyle w:val="TextBody"/>
        <w:bidi w:val="0"/>
        <w:spacing w:before="0" w:after="0"/>
        <w:jc w:val="center"/>
        <w:rPr>
          <w:rFonts w:ascii="Times New Roman" w:hAnsi="Times New Roman"/>
          <w:sz w:val="20"/>
        </w:rPr>
      </w:pPr>
      <w:r>
        <w:rPr>
          <w:rFonts w:ascii="Times New Roman" w:hAnsi="Times New Roman"/>
          <w:sz w:val="20"/>
        </w:rPr>
        <w:t xml:space="preserve">(650) 281-0850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50745" cy="3441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150745" cy="3441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sz w:val="20"/>
        </w:rPr>
      </w:pPr>
      <w:r>
        <w:rPr>
          <w:rFonts w:ascii="Times New Roman" w:hAnsi="Times New Roman"/>
          <w:b/>
          <w:sz w:val="20"/>
        </w:rPr>
        <w:t>October 20, 2026</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50745" cy="3441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2150745" cy="3441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$350,000,000 </w:t>
      </w:r>
    </w:p>
    <w:p>
      <w:pPr>
        <w:pStyle w:val="TextBody"/>
        <w:bidi w:val="0"/>
        <w:spacing w:before="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distribution agreement (the “Distribution Agreement”) with J.P. Morgan Securities LLC, as agent (“J.P. Morgan”), relating to the sale of shares of our common stock offered by this prospectus. In accordance with the terms of the Distribution Agreement, we may offer and sell shares of our common stock, par value $0.0001 per share, from time to time, having an aggregate offering price of up to $350,000,000 through or to J.P. Morgan acting as our agent or principal.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trading symbol “KOD.” On October 19, 2026, the last reported sale price of our common stock was $91.35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will be made in negotiated transactions, including block trades or block sales, or by any method permitted by law deemed to be “at the market offerings” as defined in Rule 415 promulgated under the Securities Act of 1933, as amended (the “Securities Act”), or such other sales as shall be agreed to by us and J.P. Morgan in writing. Subject to the terms of the Distribution Agreement, J.P. Morgan is not required to sell any specific amount of securities but will act as our agent using commercially reasonable efforts consistent with its normal trading and sales practices, on mutually agreed terms between J.P. Morgan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to J.P. Morgan for sales of common stock sold pursuant to the Distribution Agreement will be an amount up to 3% of the gross proceeds of any shares of common stock sold under the Distribution Agreement. We have also agreed to provide indemnification and contribution to J.P. Morgan with respect to certain liabilities, including liabilities under the Securities Act or the Securities Exchange Act of 1934, as amended (the “Exchange Act”). </w:t>
      </w:r>
    </w:p>
    <w:p>
      <w:pPr>
        <w:pStyle w:val="TextBody"/>
        <w:bidi w:val="0"/>
        <w:spacing w:before="240" w:after="0"/>
        <w:jc w:val="left"/>
        <w:rPr>
          <w:rFonts w:ascii="Times New Roman" w:hAnsi="Times New Roman"/>
          <w:b/>
          <w:sz w:val="20"/>
        </w:rPr>
      </w:pPr>
      <w:r>
        <w:rPr>
          <w:rFonts w:ascii="Times New Roman" w:hAnsi="Times New Roman"/>
          <w:b/>
          <w:sz w:val="20"/>
        </w:rPr>
        <w:t>We are a “smaller reporting company” as defined under the U.S. federal securities laws and, as such, may elect to comply with certain reduced public company reporting requirements. See the section titled “Prospectus Summary - Implications of Being a Smaller Reporting Company.”</w:t>
      </w:r>
    </w:p>
    <w:p>
      <w:pPr>
        <w:pStyle w:val="TextBody"/>
        <w:bidi w:val="0"/>
        <w:spacing w:before="240" w:after="0"/>
        <w:jc w:val="left"/>
        <w:rPr/>
      </w:pPr>
      <w:r>
        <w:rPr>
          <w:rFonts w:ascii="Times New Roman" w:hAnsi="Times New Roman"/>
          <w:b/>
          <w:sz w:val="24"/>
        </w:rPr>
        <w:t>Investing in our common stock involves a high degree of risk. Before making an investment decision, please read the information contained in and incorporated by reference under the section titled “</w:t>
      </w:r>
      <w:hyperlink w:anchor="tocb143488_3">
        <w:r>
          <w:rPr>
            <w:rStyle w:val="InternetLink"/>
            <w:rFonts w:ascii="Times New Roman" w:hAnsi="Times New Roman"/>
            <w:b/>
            <w:sz w:val="24"/>
          </w:rPr>
          <w:t>Risk Factors</w:t>
        </w:r>
      </w:hyperlink>
      <w:r>
        <w:rPr>
          <w:rFonts w:ascii="Times New Roman" w:hAnsi="Times New Roman"/>
          <w:b/>
          <w:sz w:val="24"/>
        </w:rPr>
        <w:t xml:space="preserve">” beginning on page S-7 of this prospectus and under similar headings in the other documents that we have filed or that are filed after the date hereof and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20,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ocb143488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2">
              <w:r>
                <w:rPr>
                  <w:rStyle w:val="InternetLink"/>
                  <w:rFonts w:ascii="Times New Roman" w:hAnsi="Times New Roman"/>
                  <w:sz w:val="20"/>
                </w:rPr>
                <w:t xml:space="preserve">PROSPECTUS SUMMARY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3">
              <w:r>
                <w:rPr>
                  <w:rStyle w:val="InternetLink"/>
                  <w:rFonts w:ascii="Times New Roman" w:hAnsi="Times New Roman"/>
                  <w:sz w:val="20"/>
                </w:rPr>
                <w:t xml:space="preserve">RISK FACTORS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4">
              <w:r>
                <w:rPr>
                  <w:rStyle w:val="InternetLink"/>
                  <w:rFonts w:ascii="Times New Roman" w:hAnsi="Times New Roman"/>
                  <w:sz w:val="20"/>
                </w:rPr>
                <w:t xml:space="preserve">SPECIAL NOTE REGARDING FORWARD-LOOKING STATEMENTS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5">
              <w:r>
                <w:rPr>
                  <w:rStyle w:val="InternetLink"/>
                  <w:rFonts w:ascii="Times New Roman" w:hAnsi="Times New Roman"/>
                  <w:sz w:val="20"/>
                </w:rPr>
                <w:t xml:space="preserve">USE OF PROCEEDS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6">
              <w:r>
                <w:rPr>
                  <w:rStyle w:val="InternetLink"/>
                  <w:rFonts w:ascii="Times New Roman" w:hAnsi="Times New Roman"/>
                  <w:sz w:val="20"/>
                </w:rPr>
                <w:t xml:space="preserve">DILUTION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7">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8">
              <w:r>
                <w:rPr>
                  <w:rStyle w:val="InternetLink"/>
                  <w:rFonts w:ascii="Times New Roman" w:hAnsi="Times New Roman"/>
                  <w:sz w:val="20"/>
                </w:rPr>
                <w:t xml:space="preserve">LEGAL MATTERS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9">
              <w:r>
                <w:rPr>
                  <w:rStyle w:val="InternetLink"/>
                  <w:rFonts w:ascii="Times New Roman" w:hAnsi="Times New Roman"/>
                  <w:sz w:val="20"/>
                </w:rPr>
                <w:t xml:space="preserve">EXPERTS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10">
              <w:r>
                <w:rPr>
                  <w:rStyle w:val="InternetLink"/>
                  <w:rFonts w:ascii="Times New Roman" w:hAnsi="Times New Roman"/>
                  <w:sz w:val="20"/>
                </w:rPr>
                <w:t xml:space="preserve">WHERE YOU CAN FIND MORE INFORMATION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b143488_11">
              <w:r>
                <w:rPr>
                  <w:rStyle w:val="InternetLink"/>
                  <w:rFonts w:ascii="Times New Roman" w:hAnsi="Times New Roman"/>
                  <w:sz w:val="20"/>
                </w:rPr>
                <w:t xml:space="preserve">INCORPORATION BY REFERENCE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b143488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have filed with the U.S. Securities and Exchange Commission (the “SEC”), utilizing a “shelf” registration process as a “well-known seasoned issuer,” as defined in Rule 405 under the Securities Act. Under the shelf registration statement, we may offer shares of our common stock, preferred stock, debt securities, warrants and units, including common stock or preferred stock upon conversion of debt securities, common stock upon conversion of preferred stock, or common stock, preferred stock or debt securities upon the exercise of warrants. Under this prospectus, we may offer shares of our common stock having an aggregate offering price of up to $350,000,000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offering of our common stock having an aggregate offering price of up to $350,000,000 under the Distribution Agreement. Before buying any of the common stock that we are offering, we urge you to carefully read this prospectus, together with the information incorporated by reference as described in the sections titled “Where You Can Find More Information” and “Incorporation by Reference” in this prospectus and the information in any applicable prospectus supplement or any free writing prospectus that we may authorize for use in connection with this offering.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 this prospectus —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J.P. Morgan has authorized any other person to provide you with any information other than that contained or incorporated by reference in this prospectus, any related prospectus supplement and any related free writing prospectus that we may authorize to be provided to you. We and J.P. Morgan take no responsibility for, and can provide no assurance as to the reliability of, any other information that others may give you. You should assume that the information appearing in this prospectus, the documents incorporated by reference into this prospectus, and in any applicable prospectus supplement or in any free writing prospectus that we may authorize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the documents incorporated by reference into this prospectus, and any applicable prospectus supplement or any free writing prospectus that we may authorize for use in connection with this offering, in their entirety before making an investment decision. You should also read and consider the information in the documents to which we have referred you in the sections of this prospectus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and J.P. Morgan are offering to sell, and seeking offers to buy, shares of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obtained the industry and market data in this prospectus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and documents incorporated by reference into this prospectus. These and other factors could cause results to differ materially from those expressed in the estimates made by the independent parties and by 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sections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by reference into this prospectus, includes trademarks, service marks and trade names owned by us or others. All trademarks, service marks and trade names included or incorporated by reference in this prospectus, any applicable prospectus supplement or any related free writing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tocb143488_2"/>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 titled “Risk Factors” contained in the applicable prospectus supplement and any related free writing prospectus, and under similar headings in the other documents that are incorporated by reference into this prospectus and the applicable prospectus supplement.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Except as otherwise indicated herein or as the context otherwise requires, references in this prospectus to “Kodiak,” “the Company,” “we,” “us,” “our” and similar references refer to Kodiak Sciences Inc., a corporation under the laws of the State of Delaware and its consolidated subsidiaries, if any, unless otherwise specified.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Kodiak Sciences Inc. is a precommercial retina-focused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our discovery engine. We are developing a portfolio of three late-stage clinical programs, two of which are derived from our ABC platform and one which is platform-independent.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investigational medicine, Zenkuda (tarcocimab tedromer), is an anti-vascular endothelial growth factor (“VEGF”) biopharmaceutical built on Kodiak’s proprietary ABC platform for intravitreal administration. Zenkuda has a mean ocular half-life in humans of 20 days, approximately three times longer than approved anti-VEGF therapies and is designed to maintain potent and effective drug levels in ocular tissues for longer. Zenkuda is being developed as a mainstay intravitreal biologic monotherapy that provides rapid initial effect and real-world durability, driven by the ABC platform and Kodiak’s science of durability, with the ultimate objective of providing, once approved, a flexible 1-month through 6-month label for all patients with retinal vascular disease (treatment-naïve, treatment-experienced, mild patients, and severe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Zenkuda has completed five successful Phase 3 pivotal studies: the Phase 3 DAYBREAK and DAYLIGHT studies in wet age-related macular degeneration (“wet AMD”), the Phase 3 GLOW1 and GLOW2 studies in diabetic retinopathy (“DR”) and the Phase 3 BEACON study in retinal vein occlusion (“RVO”). In the DAYBREAK study, Zenkuda met the primary endpoint (p-value of 0.0007) demonstrating meaningful vision gains as well as rapid and sustained retinal drying with the majority of patients (54%) on 6-month dosing, establishing a first-line benchmark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We are planning to submit a three-indication (wet AMD, DR, and RVO) BLA for Zenkuda in the fourth quarter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Tabirafusp alfa tedromer (“KSI-501”), our second investigational medicine, is an anti-IL-6, VEGF-trap bispecific therapy built on the ABC platform and is being developed for high prevalence retinal vascular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 address the leading unmet needs of extended durability and targeting disease biology beyond VEGF for differentiated efficacy. Tabirafusp-ted is designed to provide high immediacy/efficacy, driven by the enhanced formulation, and high durability, driven by the ABC platform and our science of durability.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advanced tabirafusp-ted into the registrational Phase 3 DAYBREAK study to evaluate its efficacy and safety in wet AMD. DAYBREAK uses tabirafusp-ted’s enhanced 50 mg/mL formulation containing both conjugated and unconjugated antibody that is intended to balance immediacy and durability. In the DAYBREAK study, tabirafusp-ted met the vision primary endpoint (p-value of 0.0036) and anatomical key secondary endpoint (p-value of &lt;0.0001). Kodiak has also advanced tabirafusp-ted into the registrational Phase 3 ALTO study designed to explore the superiority of bispecific tabirafusp-ted (anti-VEGF, anti-IL-6) versus monospecific aflibercept (anti-VEGF) in patients with diabetic macular edema (“DME”). The ALTO study is now enrolling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KSI-101, our third investigational medicine, is a novel, potent and high strength (100 mg/mL) antibody-based therapy with a bispecific mechanism of action targeting both IL-6 and VEGF. We are developing KSI-101 for patients with macular edema (retinal fluid) secondary to inflammation (“MESI”). MESI is a heterogeneous group of diseases that clinically present with macular edema and visual impairment which are caused by a common pathophysiology of 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 Currently there are no available intravitreal biologic therapies addressing the spectrum of MESI diseases. Existing therapies remain limited by side effects and tolerability, underscoring the need for safer and more effective treatment options. MESI represents a new macular edema market segment separate from the established anti-VEGF market.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Data from our dose-finding Phase 1b APEX study demonstrated robust anatomical and visual responses across MESI patients. More than half of patients achieved ≥15-letter gains in best corrected visual acuity, with additional benefit at higher dose levels. Rapid vision improvements and anatomical response were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Enrollment of the first 300-patient cohort in the PEAK trial supporting Pivotal Analysis 1 has completed and topline results remain on track for a December 2026 release. Completion of enrollment in the second pivotal cohort evaluating 600 subjects across the PEAK and PINNACLE studies is expected in the fourth quarter of 2026, with topline clinical data release anticipated in second quarter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Beyond our late-stage clinical portfolio, we are advancing our platform technology to embed small molecules and other active pharmaceutical ingredients (“API”), into Kodiak’s proprietary biopolymer backbone to enable high drug-antibody ratio (“DAR”) medicines. The diverse APIs are designed to be released over time to achieve targeted, multi-specific and tailored modulation of biological pathways. We believe this unique combination of high DAR and extended therapeutic benefit offers potential for broad and important utility for multifactorial ophthalmic and systemic diseases. We call this platform extension our Antibody Biopolymer Conjugate Drug (“ABCD”) platform because we are extending our platform capabilities to include the conjugation of small molecule drugs whereas historically we primarily conjugated biologics such as antibodies. Our ABCD platform is advancing a next set of investigational therapies for high prevalence retinal diseases, including our novel “duet” technology for glaucoma and geographic atrophy.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made significant investments in commercial manufacturing that has positioned us well for potential launch of multiple ABC products into large and growing markets. We commissioned URSUS as a cGMP facility in January 2023. URSUS is a custom-designed premium commercial manufacturing facility dedicated to the large scale manufacture of Kodiak’s ABC medicines, built in collaboration with Lonza, a leading drug contract manufacturing firm.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 Our progress is reflective of our long-term planning and execution towards an enhanced identity as a vision sciences company, integrating proprietary therapeutics and next-generation vision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date, we have retained all global rights to make, use and sell our product candidates, which we believe preserves future value and allows for agile decision-making. Our objective is to develop our retina-focused product candidates, seek approval from the United States Food and Drug Administration (“FDA”) and ultimately commercialize our product candidates in major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in June 2009 in Delaware as a limited liability company. In September 2015, we converted to a Delaware corporation and, in connection with the conversion, changed our name to “Kodiak Sciences Inc.” Our principal executive office is located at 1250 Page Mill Road, Palo Alto, California 94304. Our telephone number is (650) 281-0850.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an internet website at the following address: www.kodiak.com. The information on our website is not incorporated by reference into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Item 10(f)(1) of Regulation S-K. As of June 30, 2025, we qualified as a smaller reporting company because the market value of our common stock held by non-affiliates as of such date was less than $700 million and our annual revenues for the fiscal year ended December 31, 2024 were less than $100 million. As of June 30, 2026, the market value of our common stock held by non-affiliates exceeded $700 million, and we therefore determined that we no longer qualified as a smaller reporting company. However, under applicable SEC transition rules, we remain eligible to use the disclosure requirements applicable to smaller reporting companies through the end of fiscal year 2026, including in our Annual Report on Form 10-K for the year ending December 31, 2026. We will cease to be eligible to use those requirements beginning with our Quarterly Report on Form 10-Q for the quarter ending March 31, 2027. While we remain eligible to use the disclosure requirements applicable to smaller reporting companies, we may provide less public disclosure than larger public companies, including only two years of audited financial statements and only two years of related management’s discussion and analysis of financial condition and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operations disclosure. As a result, the information that we provide to our stockholders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Shares of our common stock having an aggregate offering price of up to $350,000,000.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8" w:type="dxa"/>
            <w:tcBorders/>
          </w:tcPr>
          <w:p>
            <w:pPr>
              <w:pStyle w:val="TableContents"/>
              <w:bidi w:val="0"/>
              <w:spacing w:before="0" w:after="283"/>
              <w:jc w:val="left"/>
              <w:rPr/>
            </w:pPr>
            <w:r>
              <w:rPr/>
              <w:t xml:space="preserve">Up to 66,662,277 shares (as more fully described in the notes following this table), assuming sales of 3,831,417 shares of our common stock in this offering at an assumed offering price of $91.35 per share, which was the last reported sale price of our common stock on the Nasdaq Global Market on October 19,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7" w:type="dxa"/>
            <w:tcBorders/>
          </w:tcPr>
          <w:p>
            <w:pPr>
              <w:pStyle w:val="TableContents"/>
              <w:bidi w:val="0"/>
              <w:spacing w:before="0" w:after="283"/>
              <w:jc w:val="left"/>
              <w:rPr/>
            </w:pPr>
            <w:r>
              <w:rPr/>
              <w:t xml:space="preserve">From time to time by us through or to J.P. Morgan, acting as agent on our behalf or as principal, including “at-the-market” offerings, as applicable. See section titled “Plan of Distribution” on page S-14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currently intend to use any net proceeds from the sale of the common stock offered by us hereunder for working capital, capital expenditures, operating expenditures, and general corporate purposes. We may also use a portion of the net proceeds and our existing cash, cash equivalents and marketable securities to invest in or acquire businesses or technologies that we believe are complementary to our own. However, we have no current commitments or obligations to do so. See the section titled “Use of Proceeds” on page S-11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Before making an investment decision, please read the information contained in the section titled “Risk Factors” beginning on page S-7 of this prospectus and under similar headings in the other documents that we have filed or that are filed after the date hereof and incorporated by reference into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Market Symbol </w:t>
            </w:r>
          </w:p>
        </w:tc>
        <w:tc>
          <w:tcPr>
            <w:tcW w:w="6329" w:type="dxa"/>
            <w:tcBorders/>
          </w:tcPr>
          <w:p>
            <w:pPr>
              <w:pStyle w:val="TableContents"/>
              <w:bidi w:val="0"/>
              <w:spacing w:before="0" w:after="283"/>
              <w:jc w:val="left"/>
              <w:rPr/>
            </w:pPr>
            <w:r>
              <w:rPr/>
              <w:t>“</w:t>
            </w:r>
            <w:r>
              <w:rPr/>
              <w:t xml:space="preserve">KOD”.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the offering is based on 62,830,860 shares of common stock outstanding as of June 30, 2026, and excludes as of that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16,904,763 shares of our common stock issuable upon the exercise of stock options under the 2015 Share Incentive Plan (“2015 Plan”) and the 2018 Equity Incentive Plan (“2018 Plan”), at a weighted-average exercise price of $19.01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4,627,334 shares of our common stock issuable upon the exercise of stock options under the 2021 Long-Term Performance Incentive Plan (“2021 LTPIP”), at a weighted-average exercise price of $88.21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126,751 shares of our common stock issuable upon the settlement of outstanding restricted stock units granted under the 2018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2,769,357 shares of common stock reserved for future issuance under the 2018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230,311 shares of our common stock reserved for future issuance under the 2018 Employee Share Purchase Plan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1,848,047 shares of common stock issuable upon the exercise of stock options granted subsequent to June 30, 2026, with a weighted average exercise price of $43.68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27,200 shares of common stock underlying restricted stock units granted subsequent to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b143488_3"/>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deciding whether to invest in our common stock, you should consider carefully the risks and uncertainties described below and discussed under the section titled “Risk Factors” contained in the applicable prospectus supplement and any related free writing prospectus, and discussed under the section titled “Risk Factors” contained in our most recent Annual Report on Form 10-K and in our subsequent Quarterly Reports on Form 10-Q, as well as any amendments thereto reflected in subsequent filings with the SEC, which are incorporated by reference into this prospectus in their entirety, as updated or superseded by the risks and uncertainties described under similar headings in the other documents that are filed after the date hereof and incorporated by reference into this prospectus, together with the other information in this prospectus, the documents incorporated by reference and any applicable prospectus supplement or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not designated the amount of net proceeds from this offering to be used for any particular purpose, our management will have broad discretion as to the application of any net proceeds from this offering and could use them for purposes other than those contemplated at the time of the offering. Our management may use any net proceeds for corporate purposes that may not improve our financial condition or market value. If our management applies these proceeds in a manner that does not yield a significant return, if any, on our investment of these net proceeds, it could compromise our ability to pursue our growth strategy and adversely affect the market price of our common stock. You will not have the opportunity to influence our decisions on how to use the net proceeds from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aggregate proceeds resulting from sales made under the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Distribution Agreement and compliance with applicable law, we have the discretion to deliver a placement notice to J.P. Morgan at any time throughout the term of the Distribution Agreement. Because the price per share of each share sold pursuant to the Distribution Agreement will fluctuate over time, it is not currently possible to predict the aggregate proceeds to be raised in connection with sales under the Distribution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as a result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of our common stock in this offering may exceed the net tangible book value per share of our common stock outstanding prior to this offering. See the section titled “Dilution” below for a more detailed illustration of the dilution you may incur if you participate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of common stock we will issue under the Distribution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Distribution Agreement and compliance with applicable law, we have the discretion to deliver a placement notice to J.P. Morgan at any time throughout the term of the Distribution Agreement. Because the price per share of each share of common stock sold will fluctuate based on the market price of our common stock during the sales period, it is not possible at this stage to predict the number of shares of common stock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common stock offered hereby will be made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the agent,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b143488_4"/>
      <w:bookmarkEnd w:id="2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herein contain “forward-looking statements” within the meaning of Section 27A of the Securities Act, and Section 21E of the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forward-looking statements are subject to a number of known and unknown risks, uncertainties and assumptions, including risks described in the section titled “Risk Factors” and elsewhere in this prospectus and in our most recent Annual Report on Form 10-K,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Forward-looking statements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market size and size of the potential patient populations for our product candidates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and regulatory development plans, including for tarcocimab, KSI-501 and KSI-101;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regard to the results of our clinical studies, preclinical studies and research and development programs, including the timing and availability of data from such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of future nonclinical studies and clinical trials and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discover, develop and advance product candidates into, and successfully complete, clinical trials, including our ability to progress tarcocimab, KSI-501 and KSI-101 into later stages of development and towards a Biologics License Application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Lonza’s ability to successfully execute on our manufacturing development plan, and our expectations regarding chemistry manufacturing and controls requirements of the FDA and other regulatory bodies to support any BLA submission and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for our product candidates, and any related restrictions, limitations and/or warnings in the label of any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and the size and growth potential of the markets for our product candidates, if approved for commercial use,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products or platform technologies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establish sales, marketing and distribution infrastructure to commercialize any product candidates for which we obtain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 candidates and technology, including the projected terms of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expenses, future revenue, capital requirements, our needs for additional financing, our ability to obtain additional capital, and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from this offering and our existing cash, cash equivalents and marketable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future sales of our common stock under our at-the-market offering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or operating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aspirational goals and objectives related to our human capital resources and workforce objectives, including our ability to attract and retain key managerial, scientific and medical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and our industry, including competing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risks are not exhaustive. Other sections of this prospectus may include additional factors that could harm our business and financial performance. Moreover, we operate in a very competitive and rapidly changing environment. New risks and uncertainties emerge from time to time, and it is not possible for our management to predict all risks and uncertainties, nor can we assess the impact of all such factors on our business or the extent to which any such factor, or combination of such factors, may cause actual results to differ from those contained in, or implied by,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containing the words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applicable prospectus supplement, together with the documents we have filed with the SEC that are incorporated by reference herein and therein and any free writing prospectuses that we may authorize for use in connection with a specific offering completely and with the understanding that our actual future results, levels of activity, performance and achievements may be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b143488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gross sales proceeds of up to $350,000,000 from time to time. Because there is no minimum offering amount required pursuant to the Distribution Agreement with J.P. Morgan,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Distribution Agreement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any net proceeds from the sale of the common stock offered by us hereunder for working capital, capital expenditures, operating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As of the date of this prospectus, we cannot specify with certainty all of the particular uses of the net proceeds from the sale of securities, if any,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Pending application of any net proceeds as described above, we intend to invest the proceeds in investment-grade,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b143488_6"/>
      <w:bookmarkEnd w:id="24"/>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an offering and the as adjusted net tangible book value per share of our common stock immediately after giving effect to such an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$61.1 million, or $0.97 per share. Net tangible book value is total assets minus the sum of liabilities and intangible assets. Net tangible book value per share is net tangible book value divided by the total number of shares of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up to 3,831,417 shares of our common stock in an offering pursuant to the Distribution Agreement at an assumed public offering price of $91.35 per share, the last reported sale price of our common stock on the Nasdaq Global Market on October 19, 2026, and after deducting commissions and estimated offering expenses payable by us, our as adjusted net tangible book value as of June 30, 2026 would have been approximately $400.2 million, or $6.00 per share of common stock. This represents an immediate increase in net tangible book value of $5.03 per share to existing stockholders and immediate dilution of $85.35 per share to investors purchasing our common stock in such an offering at the assumed public offering price.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3"/>
        <w:gridCol w:w="385"/>
        <w:gridCol w:w="145"/>
        <w:gridCol w:w="447"/>
        <w:gridCol w:w="60"/>
        <w:gridCol w:w="385"/>
        <w:gridCol w:w="145"/>
        <w:gridCol w:w="581"/>
        <w:gridCol w:w="64"/>
      </w:tblGrid>
      <w:tr>
        <w:trPr/>
        <w:tc>
          <w:tcPr>
            <w:tcW w:w="554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91.35</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0.97</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offering</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5.03</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1" w:type="dxa"/>
            <w:tcBorders/>
            <w:vAlign w:val="bottom"/>
          </w:tcPr>
          <w:p>
            <w:pPr>
              <w:pStyle w:val="TableContents"/>
              <w:bidi w:val="0"/>
              <w:spacing w:before="0" w:after="283"/>
              <w:jc w:val="right"/>
              <w:rPr/>
            </w:pPr>
            <w:r>
              <w:rPr/>
              <w:t>6.00</w:t>
            </w:r>
          </w:p>
        </w:tc>
        <w:tc>
          <w:tcPr>
            <w:tcW w:w="64" w:type="dxa"/>
            <w:tcBorders/>
            <w:vAlign w:val="bottom"/>
          </w:tcPr>
          <w:p>
            <w:pPr>
              <w:pStyle w:val="TableContents"/>
              <w:bidi w:val="0"/>
              <w:spacing w:before="0" w:after="283"/>
              <w:jc w:val="left"/>
              <w:rPr/>
            </w:pPr>
            <w:r>
              <w:rPr/>
              <w:t> </w:t>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85.35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subject to the Distribution Agreement are being sold from time to time at various prices. Each $5.00 increase in the assumed public offering price of $91.35 per share, assuming all of our common stock in the aggregate amount of $350,000,000 during the term of the Distribution Agreement is sold at that price, would increase the dilution per share to new investors by approximately $4.98 per share, after deducting the commissions and estimated offering expenses payable by us. Each $5.00 decrease in the assumed public offering price of $91.35 per share, assuming all of our common stock in the aggregate amount of $350,000,000 during the term of the Distribution Agreement is sold at that price, would decrease the dilution per share to new investors by approximately $4.98 per share, after deducting the commissions and estimated offering expenses payable by us. The information discussed above is illustrative only and will be adjusted based on the actual offering prices and the actual number of shares issued and sold pursuant to the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62,830,860 shares of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16,904,763 shares of our common stock issuable upon the exercise of stock options under the 2015 Plan and the 2018 Plan, at a weighted-average exercise price of $19.01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4,627,334 shares of our common stock issuable upon the exercise of stock options under the 2021 LTPIP, at a weighted-average exercise price of $88.21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126,751 shares of our common stock issuable upon the settlement of outstanding restricted stock units granted under the 2018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2,769,357 shares of common stock reserved for future issuance under the 2018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230,311 shares of our common stock reserved for future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1,848,047 shares of common stock issuable upon the exercise of stock options granted subsequent to June 30, 2026, with a weighted average exercise price of $43.68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27,200 shares of common stock underlying restricted stock units granted subsequent to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outstanding as of June 30, 2026, have been or are exercised, or restricted stock units vest or other shares are issued, investors purchasing shares in an offering pursuant to the Distribution Agreement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investors in an offering pursuant to the Distribution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b143488_7"/>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Distribution Agreement with J.P. Morgan, dated October 20, 2026, under which we may issue and sell from time to time up to $350,000,000 of our common stock through or to J.P. Morgan acting as our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the Nasdaq Global Market, or such other sales as shall be agreed by us and J.P. Morgan in writing. Sales pursuant to the Distribution Agreement may be made through an affiliate of J.P. Morgan. If authorized by us in writing, J.P. Morgan may purchase shares of our common stock as principal. </w:t>
      </w:r>
    </w:p>
    <w:p>
      <w:pPr>
        <w:pStyle w:val="TextBody"/>
        <w:bidi w:val="0"/>
        <w:spacing w:before="240" w:after="0"/>
        <w:jc w:val="left"/>
        <w:rPr>
          <w:rFonts w:ascii="Times New Roman" w:hAnsi="Times New Roman"/>
          <w:sz w:val="20"/>
        </w:rPr>
      </w:pPr>
      <w:r>
        <w:rPr>
          <w:rFonts w:ascii="Times New Roman" w:hAnsi="Times New Roman"/>
          <w:sz w:val="20"/>
        </w:rPr>
        <w:t xml:space="preserve">J.P. Morgan will offer our common stock subject to the terms and conditions of the Distribution Agreement on a daily basis or as otherwise agreed upon by us and J.P. Morgan. We will designate the maximum amount of common stock to be sold through J.P. Morgan on a daily basis or otherwise determine such maximum amount together with J.P. Morgan. Subject to the terms and conditions of the Distribution Agreement, J.P. Morgan will use its commercially reasonable efforts to sell on our behalf all of the shares of common stock requested to be sold by us. J.P. Morgan and we each have the right, by giving written notice as specified in the Distribution Agreement, to terminate the Distribution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J.P. Morgan as agent equals up to 3% of the gross sales price of the shares sold through it pursuant to the Distribution Agreement. We have also agreed to reimburse J.P. Morgan for certain of J.P. Morgan’s expenses incurred in connection with the execution of the Distribution Agreement. We estimate that the total expenses of the offering payable by us, excluding commissions payable to J.P. Morgan under the Distribution Agreement, will be approximately $400,000.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Distribution Agreement, we may also sell shares of our common stock to J.P. Morgan, as principal, at a price agreed upon at the time of sale. If we sell shares of our common stock to J.P. Morgan as principal, we will enter into a separate terms agreement with J.P. Morgan, setting forth the terms of such transaction, and we will describe the agreement in a separate prospectus supplement or pricing supplement. </w:t>
      </w:r>
    </w:p>
    <w:p>
      <w:pPr>
        <w:pStyle w:val="TextBody"/>
        <w:bidi w:val="0"/>
        <w:spacing w:before="240" w:after="0"/>
        <w:jc w:val="left"/>
        <w:rPr>
          <w:rFonts w:ascii="Times New Roman" w:hAnsi="Times New Roman"/>
          <w:sz w:val="20"/>
        </w:rPr>
      </w:pPr>
      <w:r>
        <w:rPr>
          <w:rFonts w:ascii="Times New Roman" w:hAnsi="Times New Roman"/>
          <w:sz w:val="20"/>
        </w:rPr>
        <w:t xml:space="preserve">J.P. Morgan will provide written confirmation to us following the close of trading on the Nasdaq Global Market on each day in which common stock is sold through it as agent under the Distribution Agreement. We will report at least quarterly the number of shares of common stock sold through J.P. Morgan under the Distribution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we or J.P. Morgan have reason to believe that the exemptive provisions set forth in Rule 101(c)(l) of Regulation M under the Exchange Act are not satisfied with respect to us or our common stock, we or J.P. Morgan, as applicable, are required by the Distribution Agreement to notify the other party, and sales of common stock under the Distribution Agreement must be suspended until that or other exemptive provisions have been satisfied in the judgment of each party.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in the Distribution Agreement to provide indemnification and contribution to J.P. Morgan against certain liabilities, including liabilities under the Securities Act. As agent, J.P. Morgan will not engage in any transaction that stabilizes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offering of our common stock pursuant to the Distribution Agreement will terminate upon the earlier of (i) the sale of all shares of our common stock subject to the Distribution Agreement, (ii) the termination of the Distribution Agreement by us and/or by J.P. Morgan and (iii) the third anniversary of the date of the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and trades under the symbol “KOD.” 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J.P. Morgan and/or its affiliates have provided, and may in the future provide, various investment banking and other financial services for us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b143488_8"/>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has passed upon the validity of the shares of our common stock offered hereby. J.P. Morgan is being represented by Davis Polk &amp; Wardwell LLP in connection with the offering. </w:t>
      </w:r>
    </w:p>
    <w:p>
      <w:pPr>
        <w:pStyle w:val="TextBody"/>
        <w:bidi w:val="0"/>
        <w:spacing w:before="480" w:after="0"/>
        <w:jc w:val="center"/>
        <w:rPr>
          <w:rFonts w:ascii="Times New Roman" w:hAnsi="Times New Roman"/>
          <w:b/>
          <w:sz w:val="20"/>
        </w:rPr>
      </w:pPr>
      <w:bookmarkStart w:id="27" w:name="tocb143488_9"/>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substantial doubt about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8" w:name="tocb143488_10"/>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maintain a website at www.kodiak.com. The information contained in, or that can be accessed through, our website is not part of this prospectus. </w:t>
      </w:r>
    </w:p>
    <w:p>
      <w:pPr>
        <w:pStyle w:val="TextBody"/>
        <w:bidi w:val="0"/>
        <w:spacing w:before="480" w:after="0"/>
        <w:jc w:val="center"/>
        <w:rPr>
          <w:rFonts w:ascii="Times New Roman" w:hAnsi="Times New Roman"/>
          <w:b/>
          <w:sz w:val="20"/>
        </w:rPr>
      </w:pPr>
      <w:bookmarkStart w:id="29" w:name="tocb143488_11"/>
      <w:bookmarkEnd w:id="2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June 30, 2026 and March 31, 2026, filed with the SEC on </w:t>
            </w:r>
            <w:hyperlink r:id="rId13">
              <w:r>
                <w:rPr>
                  <w:rStyle w:val="InternetLink"/>
                  <w:rFonts w:ascii="Times New Roman" w:hAnsi="Times New Roman"/>
                  <w:sz w:val="20"/>
                </w:rPr>
                <w:t>August  13, 2026</w:t>
              </w:r>
            </w:hyperlink>
            <w:r>
              <w:rPr>
                <w:rFonts w:ascii="Times New Roman" w:hAnsi="Times New Roman"/>
                <w:sz w:val="20"/>
              </w:rPr>
              <w:t xml:space="preserve"> and </w:t>
            </w:r>
            <w:hyperlink r:id="rId14">
              <w:r>
                <w:rPr>
                  <w:rStyle w:val="InternetLink"/>
                  <w:rFonts w:ascii="Times New Roman" w:hAnsi="Times New Roman"/>
                  <w:sz w:val="20"/>
                </w:rPr>
                <w:t>May 7,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5">
              <w:r>
                <w:rPr>
                  <w:rStyle w:val="InternetLink"/>
                  <w:rFonts w:ascii="Times New Roman" w:hAnsi="Times New Roman"/>
                  <w:sz w:val="20"/>
                </w:rPr>
                <w:t>March 27, 2026</w:t>
              </w:r>
            </w:hyperlink>
            <w:r>
              <w:rPr>
                <w:rFonts w:ascii="Times New Roman" w:hAnsi="Times New Roman"/>
                <w:sz w:val="20"/>
              </w:rPr>
              <w:t xml:space="preserve">, </w:t>
            </w:r>
            <w:hyperlink r:id="rId16">
              <w:r>
                <w:rPr>
                  <w:rStyle w:val="InternetLink"/>
                  <w:rFonts w:ascii="Times New Roman" w:hAnsi="Times New Roman"/>
                  <w:sz w:val="20"/>
                </w:rPr>
                <w:t>June  4, 2026</w:t>
              </w:r>
            </w:hyperlink>
            <w:r>
              <w:rPr>
                <w:rFonts w:ascii="Times New Roman" w:hAnsi="Times New Roman"/>
                <w:sz w:val="20"/>
              </w:rPr>
              <w:t xml:space="preserve">, and </w:t>
            </w:r>
            <w:hyperlink r:id="rId17">
              <w:r>
                <w:rPr>
                  <w:rStyle w:val="InternetLink"/>
                  <w:rFonts w:ascii="Times New Roman" w:hAnsi="Times New Roman"/>
                  <w:sz w:val="20"/>
                </w:rPr>
                <w:t>September 28,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w:t>
            </w:r>
            <w:hyperlink r:id="rId18">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2025, filed with the SEC on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1250 Page Mill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94304 </w:t>
      </w:r>
    </w:p>
    <w:p>
      <w:pPr>
        <w:pStyle w:val="TextBody"/>
        <w:bidi w:val="0"/>
        <w:spacing w:before="0" w:after="0"/>
        <w:jc w:val="center"/>
        <w:rPr>
          <w:rFonts w:ascii="Times New Roman" w:hAnsi="Times New Roman"/>
          <w:sz w:val="20"/>
        </w:rPr>
      </w:pPr>
      <w:r>
        <w:rPr>
          <w:rFonts w:ascii="Times New Roman" w:hAnsi="Times New Roman"/>
          <w:sz w:val="20"/>
        </w:rPr>
        <w:t xml:space="preserve">(650) 281-0850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50745" cy="3441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2150745" cy="3441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$350,000,000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3000" w:after="0"/>
        <w:jc w:val="center"/>
        <w:rPr>
          <w:rFonts w:ascii="Times New Roman" w:hAnsi="Times New Roman"/>
          <w:b/>
          <w:sz w:val="20"/>
        </w:rPr>
      </w:pPr>
      <w:r>
        <w:rPr>
          <w:rFonts w:ascii="Times New Roman" w:hAnsi="Times New Roman"/>
          <w:b/>
          <w:sz w:val="20"/>
        </w:rPr>
        <w:t xml:space="preserve">October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costs and expenses, other than underwriting discounts and commissions, payable by us in connection with the offering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34"/>
        <w:gridCol w:w="836"/>
        <w:gridCol w:w="430"/>
        <w:gridCol w:w="986"/>
        <w:gridCol w:w="353"/>
      </w:tblGrid>
      <w:tr>
        <w:trPr/>
        <w:tc>
          <w:tcPr>
            <w:tcW w:w="4334" w:type="dxa"/>
            <w:tcBorders/>
            <w:vAlign w:val="center"/>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to be</w:t>
              <w:br/>
              <w:t>paid</w:t>
            </w:r>
          </w:p>
        </w:tc>
        <w:tc>
          <w:tcPr>
            <w:tcW w:w="353"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w:t>
            </w:r>
          </w:p>
        </w:tc>
        <w:tc>
          <w:tcPr>
            <w:tcW w:w="836"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(1)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836"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(2)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(2)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836"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(2)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(2)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miscellaneous fees and expenses</w:t>
            </w:r>
          </w:p>
        </w:tc>
        <w:tc>
          <w:tcPr>
            <w:tcW w:w="836"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353" w:type="dxa"/>
            <w:tcBorders/>
            <w:shd w:fill="CCEEFF" w:val="clear"/>
            <w:vAlign w:val="bottom"/>
          </w:tcPr>
          <w:p>
            <w:pPr>
              <w:pStyle w:val="TableContents"/>
              <w:bidi w:val="0"/>
              <w:spacing w:before="0" w:after="283"/>
              <w:jc w:val="left"/>
              <w:rPr/>
            </w:pPr>
            <w:r>
              <w:rPr/>
              <w:t>(2) </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(2) </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under the Securities Act, the registrant is deferring payment of all applicable registration fees for the securities offered by this prospectus.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Section 102 of the DGCL,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registrant or the registrant’s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the registrant or the registrant’s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affect the availability of equitable remedies such as injunctive relief or rescission. The registrant’s amended and restated certificate of incorporation also authorizes the registrant to indemnify the registrant’s officers, directors and other agents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 of the DGCL, the registrant’s amended and restated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indemnify our directors, officers and employees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advance expenses to our directors, officers and employees in connection with a legal proceeding to the fullest extent permitted by the DGCL, subject to limited exceptions;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provided in our amended and restated bylaws are not exclusive.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certificate of incorporation and the registrant’s amended and restated bylaws provide for the indemnification provisions described above and elsewhere herein. The registrant has entered or will enter into, and intends to continue to enter into, separate indemnification agreements with the registrant’s directors and officers that may be broader than the specific indemnification provisions contained in the DGCL. These indemnification agreements generally require the registrant, among other things, to indemnify the registrant’s officers and directors against certain liabilities that may arise by reason of their status or service as directors or officers, other than liabilities arising from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agreements also generally require the registrant to advance any expenses incurred by the directors or officers as a result of any proceeding against them as to which they could be indemnified. These indemnification provisions and the indemnification agreements may be sufficiently broad to permit indemnification of the registrant’s officers and directors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 </w:t>
      </w:r>
    </w:p>
    <w:p>
      <w:pPr>
        <w:pStyle w:val="TextBody"/>
        <w:bidi w:val="0"/>
        <w:spacing w:before="240" w:after="0"/>
        <w:jc w:val="left"/>
        <w:rPr>
          <w:rFonts w:ascii="Times New Roman" w:hAnsi="Times New Roman"/>
          <w:sz w:val="20"/>
        </w:rPr>
      </w:pPr>
      <w:r>
        <w:rPr>
          <w:rFonts w:ascii="Times New Roman" w:hAnsi="Times New Roman"/>
          <w:sz w:val="20"/>
        </w:rPr>
        <w:t xml:space="preserve">The form of underwriting agreement between the registrant and the underwriters to be filed as Exhibit 1.1 to this registration statement provides for the indemnification by the underwriters of the registrant and the registrant’s officers and directors who sign this registration statement for specified liabilities, including matters arising under the Securities Act. The distribution agreement between the registrant and the agent filed as Exhibit 1.2 to this registration statement provides for the indemnification by the agent of the registrant and the registrant’s officers and directors who sign this registration statement for specified liabilities, including matters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
        <w:gridCol w:w="307"/>
        <w:gridCol w:w="4453"/>
        <w:gridCol w:w="258"/>
        <w:gridCol w:w="843"/>
        <w:gridCol w:w="348"/>
        <w:gridCol w:w="1753"/>
        <w:gridCol w:w="348"/>
        <w:gridCol w:w="974"/>
      </w:tblGrid>
      <w:tr>
        <w:trPr/>
        <w:tc>
          <w:tcPr>
            <w:tcW w:w="92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4453"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921" w:type="dxa"/>
            <w:vMerge w:val="restart"/>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07" w:type="dxa"/>
            <w:vMerge w:val="restart"/>
            <w:tcBorders/>
            <w:vAlign w:val="bottom"/>
          </w:tcPr>
          <w:p>
            <w:pPr>
              <w:pStyle w:val="TableContents"/>
              <w:bidi w:val="0"/>
              <w:spacing w:before="0" w:after="283"/>
              <w:jc w:val="left"/>
              <w:rPr/>
            </w:pPr>
            <w:r>
              <w:rPr/>
              <w:t>  </w:t>
            </w:r>
          </w:p>
        </w:tc>
        <w:tc>
          <w:tcPr>
            <w:tcW w:w="4453"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258" w:type="dxa"/>
            <w:tcBorders/>
            <w:vAlign w:val="bottom"/>
          </w:tcPr>
          <w:p>
            <w:pPr>
              <w:pStyle w:val="TableContents"/>
              <w:bidi w:val="0"/>
              <w:spacing w:before="0" w:after="283"/>
              <w:jc w:val="left"/>
              <w:rPr/>
            </w:pPr>
            <w:r>
              <w:rPr/>
              <w:t> </w:t>
            </w:r>
          </w:p>
        </w:tc>
        <w:tc>
          <w:tcPr>
            <w:tcW w:w="4266"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 to Filings</w:t>
              <w:br/>
              <w:t>Indicated</w:t>
            </w:r>
          </w:p>
        </w:tc>
      </w:tr>
      <w:tr>
        <w:trPr/>
        <w:tc>
          <w:tcPr>
            <w:tcW w:w="921" w:type="dxa"/>
            <w:vMerge w:val="continue"/>
            <w:tcBorders>
              <w:bottom w:val="single" w:sz="8" w:space="0" w:color="000000"/>
            </w:tcBorders>
            <w:tcMar>
              <w:bottom w:w="28" w:type="dxa"/>
            </w:tcMar>
            <w:vAlign w:val="bottom"/>
          </w:tcPr>
          <w:p>
            <w:pPr>
              <w:pStyle w:val="Normal"/>
              <w:bidi w:val="0"/>
              <w:jc w:val="left"/>
              <w:rPr/>
            </w:pPr>
            <w:r>
              <w:rPr/>
            </w:r>
          </w:p>
        </w:tc>
        <w:tc>
          <w:tcPr>
            <w:tcW w:w="307" w:type="dxa"/>
            <w:vMerge w:val="continue"/>
            <w:tcBorders/>
            <w:vAlign w:val="bottom"/>
          </w:tcPr>
          <w:p>
            <w:pPr>
              <w:pStyle w:val="Normal"/>
              <w:bidi w:val="0"/>
              <w:jc w:val="left"/>
              <w:rPr/>
            </w:pPr>
            <w:r>
              <w:rPr/>
            </w:r>
          </w:p>
        </w:tc>
        <w:tc>
          <w:tcPr>
            <w:tcW w:w="4453" w:type="dxa"/>
            <w:vMerge w:val="continue"/>
            <w:tcBorders>
              <w:bottom w:val="single" w:sz="8" w:space="0" w:color="000000"/>
            </w:tcBorders>
            <w:tcMar>
              <w:bottom w:w="28" w:type="dxa"/>
            </w:tcMar>
            <w:vAlign w:val="bottom"/>
          </w:tcPr>
          <w:p>
            <w:pPr>
              <w:pStyle w:val="Normal"/>
              <w:bidi w:val="0"/>
              <w:jc w:val="left"/>
              <w:rPr/>
            </w:pPr>
            <w:r>
              <w:rPr/>
            </w:r>
          </w:p>
        </w:tc>
        <w:tc>
          <w:tcPr>
            <w:tcW w:w="258" w:type="dxa"/>
            <w:tcBorders/>
            <w:vAlign w:val="bottom"/>
          </w:tcPr>
          <w:p>
            <w:pPr>
              <w:pStyle w:val="TableContents"/>
              <w:bidi w:val="0"/>
              <w:spacing w:before="0" w:after="283"/>
              <w:jc w:val="left"/>
              <w:rPr/>
            </w:pPr>
            <w:r>
              <w:rPr/>
              <w:t> </w:t>
            </w:r>
          </w:p>
        </w:tc>
        <w:tc>
          <w:tcPr>
            <w:tcW w:w="84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348" w:type="dxa"/>
            <w:tcBorders/>
            <w:vAlign w:val="bottom"/>
          </w:tcPr>
          <w:p>
            <w:pPr>
              <w:pStyle w:val="TableContents"/>
              <w:bidi w:val="0"/>
              <w:spacing w:before="0" w:after="283"/>
              <w:jc w:val="left"/>
              <w:rPr/>
            </w:pPr>
            <w:r>
              <w:rPr/>
              <w:t>  </w:t>
            </w:r>
          </w:p>
        </w:tc>
        <w:tc>
          <w:tcPr>
            <w:tcW w:w="1753"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348"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1.1**</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Form of Underwriting Agreement.</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1.2*</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hyperlink w:anchor="d143488dex12.htm">
              <w:r>
                <w:rPr>
                  <w:rStyle w:val="InternetLink"/>
                </w:rPr>
                <w:t>Distribution Agreement, dated October 20, 2026, between the Registrant and J.P. Morgan Securities LLC.</w:t>
              </w:r>
            </w:hyperlink>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3.1</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Amended and Restated Certificate of Incorporation of Kodiak Sciences Inc.</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center"/>
              <w:rPr/>
            </w:pPr>
            <w:hyperlink r:id="rId20">
              <w:r>
                <w:rPr>
                  <w:rStyle w:val="InternetLink"/>
                </w:rPr>
                <w:t xml:space="preserve">10-Q </w:t>
              </w:r>
            </w:hyperlink>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center"/>
              <w:rPr/>
            </w:pPr>
            <w:r>
              <w:rPr/>
              <w:t>3.1</w:t>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11/16/2018</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3.2</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Amended and Restated Bylaws of Kodiak Sciences Inc.</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center"/>
              <w:rPr/>
            </w:pPr>
            <w:hyperlink r:id="rId21">
              <w:r>
                <w:rPr>
                  <w:rStyle w:val="InternetLink"/>
                </w:rPr>
                <w:t xml:space="preserve">10-Q </w:t>
              </w:r>
            </w:hyperlink>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center"/>
              <w:rPr/>
            </w:pPr>
            <w:r>
              <w:rPr/>
              <w:t>3.2</w:t>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11/16/2018</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Form of Common Stock Certificate.</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center"/>
              <w:rPr/>
            </w:pPr>
            <w:hyperlink r:id="rId22">
              <w:r>
                <w:rPr>
                  <w:rStyle w:val="InternetLink"/>
                </w:rPr>
                <w:t>S-1/A</w:t>
              </w:r>
            </w:hyperlink>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center"/>
              <w:rPr/>
            </w:pPr>
            <w:r>
              <w:rPr/>
              <w:t>4.1</w:t>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9/24/2018</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4.2**</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Form of Certificate of Designation of Preferred Stock.</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4.3*</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hyperlink w:anchor="d143488dex43.htm">
              <w:r>
                <w:rPr>
                  <w:rStyle w:val="InternetLink"/>
                </w:rPr>
                <w:t xml:space="preserve">Form of Indenture, between the Registrant and one or more trustees to be named. </w:t>
              </w:r>
            </w:hyperlink>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4760" w:type="dxa"/>
            <w:gridSpan w:val="2"/>
            <w:tcBorders/>
            <w:vAlign w:val="center"/>
          </w:tcPr>
          <w:p>
            <w:pPr>
              <w:pStyle w:val="TableContents"/>
              <w:bidi w:val="0"/>
              <w:spacing w:before="0" w:after="283"/>
              <w:jc w:val="left"/>
              <w:rPr>
                <w:sz w:val="4"/>
                <w:szCs w:val="4"/>
              </w:rPr>
            </w:pPr>
            <w:r>
              <w:rPr>
                <w:sz w:val="4"/>
                <w:szCs w:val="4"/>
              </w:rPr>
            </w:r>
          </w:p>
        </w:tc>
        <w:tc>
          <w:tcPr>
            <w:tcW w:w="1101" w:type="dxa"/>
            <w:gridSpan w:val="2"/>
            <w:tcBorders/>
            <w:vAlign w:val="center"/>
          </w:tcPr>
          <w:p>
            <w:pPr>
              <w:pStyle w:val="TableContents"/>
              <w:bidi w:val="0"/>
              <w:spacing w:before="0" w:after="283"/>
              <w:jc w:val="left"/>
              <w:rPr>
                <w:sz w:val="4"/>
                <w:szCs w:val="4"/>
              </w:rPr>
            </w:pPr>
            <w:r>
              <w:rPr>
                <w:sz w:val="4"/>
                <w:szCs w:val="4"/>
              </w:rPr>
            </w:r>
          </w:p>
        </w:tc>
        <w:tc>
          <w:tcPr>
            <w:tcW w:w="2101"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4.4**</w:t>
            </w:r>
          </w:p>
        </w:tc>
        <w:tc>
          <w:tcPr>
            <w:tcW w:w="307" w:type="dxa"/>
            <w:tcBorders/>
            <w:vAlign w:val="bottom"/>
          </w:tcPr>
          <w:p>
            <w:pPr>
              <w:pStyle w:val="TableContents"/>
              <w:bidi w:val="0"/>
              <w:spacing w:before="0" w:after="283"/>
              <w:jc w:val="left"/>
              <w:rPr/>
            </w:pPr>
            <w:r>
              <w:rPr/>
              <w:t>  </w:t>
            </w:r>
          </w:p>
        </w:tc>
        <w:tc>
          <w:tcPr>
            <w:tcW w:w="4453" w:type="dxa"/>
            <w:tcBorders/>
          </w:tcPr>
          <w:p>
            <w:pPr>
              <w:pStyle w:val="TableContents"/>
              <w:bidi w:val="0"/>
              <w:spacing w:before="0" w:after="283"/>
              <w:jc w:val="left"/>
              <w:rPr/>
            </w:pPr>
            <w:r>
              <w:rPr/>
              <w:t>Form of Debt Securities.</w:t>
            </w:r>
          </w:p>
        </w:tc>
        <w:tc>
          <w:tcPr>
            <w:tcW w:w="258"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4"/>
        <w:gridCol w:w="451"/>
        <w:gridCol w:w="4060"/>
        <w:gridCol w:w="393"/>
        <w:gridCol w:w="843"/>
        <w:gridCol w:w="501"/>
        <w:gridCol w:w="1709"/>
        <w:gridCol w:w="501"/>
        <w:gridCol w:w="873"/>
      </w:tblGrid>
      <w:tr>
        <w:trPr/>
        <w:tc>
          <w:tcPr>
            <w:tcW w:w="874"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874" w:type="dxa"/>
            <w:vMerge w:val="restart"/>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51" w:type="dxa"/>
            <w:vMerge w:val="restart"/>
            <w:tcBorders/>
            <w:vAlign w:val="bottom"/>
          </w:tcPr>
          <w:p>
            <w:pPr>
              <w:pStyle w:val="TableContents"/>
              <w:bidi w:val="0"/>
              <w:spacing w:before="0" w:after="283"/>
              <w:jc w:val="left"/>
              <w:rPr/>
            </w:pPr>
            <w:r>
              <w:rPr/>
              <w:t>  </w:t>
            </w:r>
          </w:p>
        </w:tc>
        <w:tc>
          <w:tcPr>
            <w:tcW w:w="4060"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393" w:type="dxa"/>
            <w:tcBorders/>
            <w:vAlign w:val="bottom"/>
          </w:tcPr>
          <w:p>
            <w:pPr>
              <w:pStyle w:val="TableContents"/>
              <w:bidi w:val="0"/>
              <w:spacing w:before="0" w:after="283"/>
              <w:jc w:val="left"/>
              <w:rPr/>
            </w:pPr>
            <w:r>
              <w:rPr/>
              <w:t> </w:t>
            </w:r>
          </w:p>
        </w:tc>
        <w:tc>
          <w:tcPr>
            <w:tcW w:w="4427"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 to Filings</w:t>
              <w:br/>
              <w:t>Indicated</w:t>
            </w:r>
          </w:p>
        </w:tc>
      </w:tr>
      <w:tr>
        <w:trPr/>
        <w:tc>
          <w:tcPr>
            <w:tcW w:w="874" w:type="dxa"/>
            <w:vMerge w:val="continue"/>
            <w:tcBorders>
              <w:bottom w:val="single" w:sz="8" w:space="0" w:color="000000"/>
            </w:tcBorders>
            <w:tcMar>
              <w:bottom w:w="28" w:type="dxa"/>
            </w:tcMar>
            <w:vAlign w:val="bottom"/>
          </w:tcPr>
          <w:p>
            <w:pPr>
              <w:pStyle w:val="Normal"/>
              <w:bidi w:val="0"/>
              <w:jc w:val="left"/>
              <w:rPr/>
            </w:pPr>
            <w:r>
              <w:rPr/>
            </w:r>
          </w:p>
        </w:tc>
        <w:tc>
          <w:tcPr>
            <w:tcW w:w="451" w:type="dxa"/>
            <w:vMerge w:val="continue"/>
            <w:tcBorders/>
            <w:vAlign w:val="bottom"/>
          </w:tcPr>
          <w:p>
            <w:pPr>
              <w:pStyle w:val="Normal"/>
              <w:bidi w:val="0"/>
              <w:jc w:val="left"/>
              <w:rPr/>
            </w:pPr>
            <w:r>
              <w:rPr/>
            </w:r>
          </w:p>
        </w:tc>
        <w:tc>
          <w:tcPr>
            <w:tcW w:w="4060" w:type="dxa"/>
            <w:vMerge w:val="continue"/>
            <w:tcBorders>
              <w:bottom w:val="single" w:sz="8" w:space="0" w:color="000000"/>
            </w:tcBorders>
            <w:tcMar>
              <w:bottom w:w="28" w:type="dxa"/>
            </w:tcMar>
            <w:vAlign w:val="bottom"/>
          </w:tcPr>
          <w:p>
            <w:pPr>
              <w:pStyle w:val="Normal"/>
              <w:bidi w:val="0"/>
              <w:jc w:val="left"/>
              <w:rPr/>
            </w:pPr>
            <w:r>
              <w:rPr/>
            </w:r>
          </w:p>
        </w:tc>
        <w:tc>
          <w:tcPr>
            <w:tcW w:w="393" w:type="dxa"/>
            <w:tcBorders/>
            <w:vAlign w:val="bottom"/>
          </w:tcPr>
          <w:p>
            <w:pPr>
              <w:pStyle w:val="TableContents"/>
              <w:bidi w:val="0"/>
              <w:spacing w:before="0" w:after="283"/>
              <w:jc w:val="left"/>
              <w:rPr/>
            </w:pPr>
            <w:r>
              <w:rPr/>
              <w:t> </w:t>
            </w:r>
          </w:p>
        </w:tc>
        <w:tc>
          <w:tcPr>
            <w:tcW w:w="84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501" w:type="dxa"/>
            <w:tcBorders/>
            <w:vAlign w:val="bottom"/>
          </w:tcPr>
          <w:p>
            <w:pPr>
              <w:pStyle w:val="TableContents"/>
              <w:bidi w:val="0"/>
              <w:spacing w:before="0" w:after="283"/>
              <w:jc w:val="left"/>
              <w:rPr/>
            </w:pPr>
            <w:r>
              <w:rPr/>
              <w:t>  </w:t>
            </w:r>
          </w:p>
        </w:tc>
        <w:tc>
          <w:tcPr>
            <w:tcW w:w="170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01" w:type="dxa"/>
            <w:tcBorders/>
            <w:vAlign w:val="bottom"/>
          </w:tcPr>
          <w:p>
            <w:pPr>
              <w:pStyle w:val="TableContents"/>
              <w:bidi w:val="0"/>
              <w:spacing w:before="0" w:after="283"/>
              <w:jc w:val="left"/>
              <w:rPr/>
            </w:pPr>
            <w:r>
              <w:rPr/>
              <w:t>  </w:t>
            </w:r>
          </w:p>
        </w:tc>
        <w:tc>
          <w:tcPr>
            <w:tcW w:w="873" w:type="dxa"/>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4.5*</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45.htm">
              <w:r>
                <w:rPr>
                  <w:rStyle w:val="InternetLink"/>
                </w:rPr>
                <w:t xml:space="preserve">Form of Common Stock Warrant Agreement and Warrant Certificate.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4.6*</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46.htm">
              <w:r>
                <w:rPr>
                  <w:rStyle w:val="InternetLink"/>
                </w:rPr>
                <w:t xml:space="preserve">Form of Preferred Stock Warrant Agreement and Warrant Certificate.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4.7*</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47.htm">
              <w:r>
                <w:rPr>
                  <w:rStyle w:val="InternetLink"/>
                </w:rPr>
                <w:t xml:space="preserve">Form of Debt Securities Warrant Agreement and Warrant Certificate.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4.8**</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r>
              <w:rPr/>
              <w:t>Form of Unit Agreement.</w:t>
            </w:r>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5.1*</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51.htm">
              <w:r>
                <w:rPr>
                  <w:rStyle w:val="InternetLink"/>
                </w:rPr>
                <w:t xml:space="preserve">Opinion of Cooley LLP.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23.1*</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231.htm">
              <w:r>
                <w:rPr>
                  <w:rStyle w:val="InternetLink"/>
                </w:rPr>
                <w:t xml:space="preserve">Consent of Independent Registered Public Accounting Firm.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23.2*</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51.htm">
              <w:r>
                <w:rPr>
                  <w:rStyle w:val="InternetLink"/>
                </w:rPr>
                <w:t xml:space="preserve">Consent of Cooley LLP (included in Exhibit 5.1).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24.1*</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sig">
              <w:r>
                <w:rPr>
                  <w:rStyle w:val="InternetLink"/>
                </w:rPr>
                <w:t xml:space="preserve">Powers of Attorney (incorporated by reference to the signature page hereto).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25.1#</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r>
              <w:rPr/>
              <w:t>Statement of Eligibility of Trustee under the Indenture.</w:t>
            </w:r>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c>
          <w:tcPr>
            <w:tcW w:w="2210" w:type="dxa"/>
            <w:gridSpan w:val="2"/>
            <w:tcBorders/>
            <w:vAlign w:val="center"/>
          </w:tcPr>
          <w:p>
            <w:pPr>
              <w:pStyle w:val="TableContents"/>
              <w:bidi w:val="0"/>
              <w:spacing w:before="0" w:after="283"/>
              <w:jc w:val="left"/>
              <w:rPr>
                <w:sz w:val="4"/>
                <w:szCs w:val="4"/>
              </w:rPr>
            </w:pPr>
            <w:r>
              <w:rPr>
                <w:sz w:val="4"/>
                <w:szCs w:val="4"/>
              </w:rPr>
            </w:r>
          </w:p>
        </w:tc>
        <w:tc>
          <w:tcPr>
            <w:tcW w:w="1374"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107</w:t>
            </w:r>
          </w:p>
        </w:tc>
        <w:tc>
          <w:tcPr>
            <w:tcW w:w="451" w:type="dxa"/>
            <w:tcBorders/>
            <w:vAlign w:val="bottom"/>
          </w:tcPr>
          <w:p>
            <w:pPr>
              <w:pStyle w:val="TableContents"/>
              <w:bidi w:val="0"/>
              <w:spacing w:before="0" w:after="283"/>
              <w:jc w:val="left"/>
              <w:rPr/>
            </w:pPr>
            <w:r>
              <w:rPr/>
              <w:t>  </w:t>
            </w:r>
          </w:p>
        </w:tc>
        <w:tc>
          <w:tcPr>
            <w:tcW w:w="4060" w:type="dxa"/>
            <w:tcBorders/>
          </w:tcPr>
          <w:p>
            <w:pPr>
              <w:pStyle w:val="TableContents"/>
              <w:bidi w:val="0"/>
              <w:spacing w:before="0" w:after="283"/>
              <w:jc w:val="left"/>
              <w:rPr/>
            </w:pPr>
            <w:hyperlink w:anchor="d143488dexfilingfees.htm">
              <w:r>
                <w:rPr>
                  <w:rStyle w:val="InternetLink"/>
                </w:rPr>
                <w:t xml:space="preserve">Filing Fee Table </w:t>
              </w:r>
            </w:hyperlink>
          </w:p>
        </w:tc>
        <w:tc>
          <w:tcPr>
            <w:tcW w:w="3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incorporated by reference in connection with the offering of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in accordance with the requirements of Section 305(b)(2) of the Trust Indenture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(7)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California, on October 20,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7"/>
        <w:gridCol w:w="60"/>
        <w:gridCol w:w="3435"/>
      </w:tblGrid>
      <w:tr>
        <w:trPr/>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KODIAK SCIENCES INC.</w:t>
            </w:r>
          </w:p>
        </w:tc>
      </w:tr>
      <w:tr>
        <w:trPr>
          <w:trHeight w:val="240" w:hRule="atLeast"/>
        </w:trPr>
        <w:tc>
          <w:tcPr>
            <w:tcW w:w="587" w:type="dxa"/>
            <w:tcBorders/>
            <w:vAlign w:val="center"/>
          </w:tcPr>
          <w:p>
            <w:pPr>
              <w:pStyle w:val="TableContents"/>
              <w:bidi w:val="0"/>
              <w:spacing w:before="0" w:after="283"/>
              <w:jc w:val="left"/>
              <w:rPr>
                <w:sz w:val="4"/>
                <w:szCs w:val="4"/>
              </w:rPr>
            </w:pPr>
            <w:r>
              <w:rPr>
                <w:sz w:val="4"/>
                <w:szCs w:val="4"/>
              </w:rPr>
            </w:r>
          </w:p>
        </w:tc>
        <w:tc>
          <w:tcPr>
            <w:tcW w:w="3495" w:type="dxa"/>
            <w:gridSpan w:val="2"/>
            <w:tcBorders/>
            <w:vAlign w:val="center"/>
          </w:tcPr>
          <w:p>
            <w:pPr>
              <w:pStyle w:val="TableContents"/>
              <w:bidi w:val="0"/>
              <w:spacing w:before="0" w:after="283"/>
              <w:jc w:val="left"/>
              <w:rPr>
                <w:sz w:val="4"/>
                <w:szCs w:val="4"/>
              </w:rPr>
            </w:pPr>
            <w:r>
              <w:rPr>
                <w:sz w:val="4"/>
                <w:szCs w:val="4"/>
              </w:rPr>
            </w:r>
          </w:p>
        </w:tc>
      </w:tr>
      <w:tr>
        <w:trPr/>
        <w:tc>
          <w:tcPr>
            <w:tcW w:w="5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Victor Perlroth</w:t>
            </w:r>
          </w:p>
        </w:tc>
      </w:tr>
      <w:tr>
        <w:trPr/>
        <w:tc>
          <w:tcPr>
            <w:tcW w:w="5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Victor Perlroth, M.D.</w:t>
            </w:r>
          </w:p>
        </w:tc>
      </w:tr>
      <w:tr>
        <w:trPr/>
        <w:tc>
          <w:tcPr>
            <w:tcW w:w="5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35" w:type="dxa"/>
            <w:tcBorders/>
            <w:vAlign w:val="bottom"/>
          </w:tcPr>
          <w:p>
            <w:pPr>
              <w:pStyle w:val="TableContents"/>
              <w:bidi w:val="0"/>
              <w:spacing w:before="0" w:after="283"/>
              <w:jc w:val="left"/>
              <w:rPr/>
            </w:pPr>
            <w:r>
              <w:rPr/>
              <w:t>Chairman and Chief Executive Officer</w:t>
            </w:r>
          </w:p>
        </w:tc>
      </w:tr>
    </w:tbl>
    <w:p>
      <w:pPr>
        <w:pStyle w:val="TextBody"/>
        <w:bidi w:val="0"/>
        <w:spacing w:before="480" w:after="0"/>
        <w:jc w:val="center"/>
        <w:rPr>
          <w:rFonts w:ascii="Times New Roman" w:hAnsi="Times New Roman"/>
          <w:b/>
          <w:sz w:val="20"/>
        </w:rPr>
      </w:pPr>
      <w:bookmarkStart w:id="30" w:name="sig"/>
      <w:bookmarkEnd w:id="30"/>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Victor Perlroth and John Borgeson,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or he might or could do in person, hereby ratifying and confirming all that said attorneys-in-fact and agents, or their,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84"/>
        <w:gridCol w:w="102"/>
        <w:gridCol w:w="3980"/>
        <w:gridCol w:w="101"/>
        <w:gridCol w:w="1838"/>
      </w:tblGrid>
      <w:tr>
        <w:trPr/>
        <w:tc>
          <w:tcPr>
            <w:tcW w:w="4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4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02"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1" w:type="dxa"/>
            <w:tcBorders/>
            <w:vAlign w:val="bottom"/>
          </w:tcPr>
          <w:p>
            <w:pPr>
              <w:pStyle w:val="TableContents"/>
              <w:bidi w:val="0"/>
              <w:spacing w:before="0" w:after="283"/>
              <w:jc w:val="left"/>
              <w:rPr/>
            </w:pPr>
            <w:r>
              <w:rPr/>
              <w:t> </w:t>
            </w:r>
          </w:p>
        </w:tc>
        <w:tc>
          <w:tcPr>
            <w:tcW w:w="18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Victor Perlroth</w:t>
            </w:r>
          </w:p>
          <w:p>
            <w:pPr>
              <w:pStyle w:val="TableContents"/>
              <w:bidi w:val="0"/>
              <w:spacing w:before="0" w:after="20"/>
              <w:jc w:val="left"/>
              <w:rPr>
                <w:rFonts w:ascii="Times New Roman" w:hAnsi="Times New Roman"/>
                <w:sz w:val="20"/>
              </w:rPr>
            </w:pPr>
            <w:r>
              <w:rPr>
                <w:rFonts w:ascii="Times New Roman" w:hAnsi="Times New Roman"/>
                <w:sz w:val="20"/>
              </w:rPr>
              <w:t>Victor Perlroth, M.D.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Chairman and 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Borgeson</w:t>
            </w:r>
          </w:p>
          <w:p>
            <w:pPr>
              <w:pStyle w:val="TableContents"/>
              <w:bidi w:val="0"/>
              <w:spacing w:before="0" w:after="20"/>
              <w:jc w:val="left"/>
              <w:rPr>
                <w:rFonts w:ascii="Times New Roman" w:hAnsi="Times New Roman"/>
                <w:sz w:val="20"/>
              </w:rPr>
            </w:pPr>
            <w:r>
              <w:rPr>
                <w:rFonts w:ascii="Times New Roman" w:hAnsi="Times New Roman"/>
                <w:sz w:val="20"/>
              </w:rPr>
              <w:t>John Borgeson</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Accounting Officer)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Felix J. Baker</w:t>
            </w:r>
          </w:p>
          <w:p>
            <w:pPr>
              <w:pStyle w:val="TableContents"/>
              <w:bidi w:val="0"/>
              <w:spacing w:before="0" w:after="20"/>
              <w:jc w:val="left"/>
              <w:rPr>
                <w:rFonts w:ascii="Times New Roman" w:hAnsi="Times New Roman"/>
                <w:sz w:val="20"/>
              </w:rPr>
            </w:pPr>
            <w:r>
              <w:rPr>
                <w:rFonts w:ascii="Times New Roman" w:hAnsi="Times New Roman"/>
                <w:sz w:val="20"/>
              </w:rPr>
              <w:t>Felix J. Baker, Ph.D.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Charles Bancroft</w:t>
            </w:r>
          </w:p>
          <w:p>
            <w:pPr>
              <w:pStyle w:val="TableContents"/>
              <w:bidi w:val="0"/>
              <w:spacing w:before="0" w:after="20"/>
              <w:jc w:val="left"/>
              <w:rPr>
                <w:rFonts w:ascii="Times New Roman" w:hAnsi="Times New Roman"/>
                <w:sz w:val="20"/>
              </w:rPr>
            </w:pPr>
            <w:r>
              <w:rPr>
                <w:rFonts w:ascii="Times New Roman" w:hAnsi="Times New Roman"/>
                <w:sz w:val="20"/>
              </w:rPr>
              <w:t>Charles Bancroft</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Bassil I. Dahiyat</w:t>
            </w:r>
          </w:p>
          <w:p>
            <w:pPr>
              <w:pStyle w:val="TableContents"/>
              <w:bidi w:val="0"/>
              <w:spacing w:before="0" w:after="20"/>
              <w:jc w:val="left"/>
              <w:rPr>
                <w:rFonts w:ascii="Times New Roman" w:hAnsi="Times New Roman"/>
                <w:sz w:val="20"/>
              </w:rPr>
            </w:pPr>
            <w:r>
              <w:rPr>
                <w:rFonts w:ascii="Times New Roman" w:hAnsi="Times New Roman"/>
                <w:sz w:val="20"/>
              </w:rPr>
              <w:t>Bassil I. Dahiyat, Ph.D.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S. Levy</w:t>
            </w:r>
          </w:p>
          <w:p>
            <w:pPr>
              <w:pStyle w:val="TableContents"/>
              <w:bidi w:val="0"/>
              <w:spacing w:before="0" w:after="20"/>
              <w:jc w:val="left"/>
              <w:rPr>
                <w:rFonts w:ascii="Times New Roman" w:hAnsi="Times New Roman"/>
                <w:sz w:val="20"/>
              </w:rPr>
            </w:pPr>
            <w:r>
              <w:rPr>
                <w:rFonts w:ascii="Times New Roman" w:hAnsi="Times New Roman"/>
                <w:sz w:val="20"/>
              </w:rPr>
              <w:t>Richard S. Levy, M.D.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A. Profusek</w:t>
            </w:r>
          </w:p>
          <w:p>
            <w:pPr>
              <w:pStyle w:val="TableContents"/>
              <w:bidi w:val="0"/>
              <w:spacing w:before="0" w:after="20"/>
              <w:jc w:val="left"/>
              <w:rPr>
                <w:rFonts w:ascii="Times New Roman" w:hAnsi="Times New Roman"/>
                <w:sz w:val="20"/>
              </w:rPr>
            </w:pPr>
            <w:r>
              <w:rPr>
                <w:rFonts w:ascii="Times New Roman" w:hAnsi="Times New Roman"/>
                <w:sz w:val="20"/>
              </w:rPr>
              <w:t>Robert A. Profusek, J.D.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r>
        <w:trPr>
          <w:trHeight w:val="240" w:hRule="atLeast"/>
        </w:trPr>
        <w:tc>
          <w:tcPr>
            <w:tcW w:w="4184" w:type="dxa"/>
            <w:tcBorders/>
            <w:vAlign w:val="center"/>
          </w:tcPr>
          <w:p>
            <w:pPr>
              <w:pStyle w:val="TableContents"/>
              <w:bidi w:val="0"/>
              <w:spacing w:before="0" w:after="283"/>
              <w:jc w:val="left"/>
              <w:rPr>
                <w:sz w:val="4"/>
                <w:szCs w:val="4"/>
              </w:rPr>
            </w:pPr>
            <w:r>
              <w:rPr>
                <w:sz w:val="4"/>
                <w:szCs w:val="4"/>
              </w:rPr>
            </w:r>
          </w:p>
        </w:tc>
        <w:tc>
          <w:tcPr>
            <w:tcW w:w="408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418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Taiyin Yang</w:t>
            </w:r>
          </w:p>
          <w:p>
            <w:pPr>
              <w:pStyle w:val="TableContents"/>
              <w:bidi w:val="0"/>
              <w:spacing w:before="0" w:after="20"/>
              <w:jc w:val="left"/>
              <w:rPr>
                <w:rFonts w:ascii="Times New Roman" w:hAnsi="Times New Roman"/>
                <w:sz w:val="20"/>
              </w:rPr>
            </w:pPr>
            <w:r>
              <w:rPr>
                <w:rFonts w:ascii="Times New Roman" w:hAnsi="Times New Roman"/>
                <w:sz w:val="20"/>
              </w:rPr>
              <w:t>Taiyin Yang, Ph.D.</w:t>
            </w:r>
          </w:p>
        </w:tc>
        <w:tc>
          <w:tcPr>
            <w:tcW w:w="102"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Director</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pPr>
            <w:r>
              <w:rPr/>
              <w:t>October 20, 2026</w:t>
            </w:r>
          </w:p>
        </w:tc>
      </w:tr>
    </w:tbl>
    <w:p>
      <w:pPr>
        <w:pStyle w:val="TextBody"/>
        <w:bidi w:val="0"/>
        <w:spacing w:before="0" w:after="0"/>
        <w:jc w:val="right"/>
        <w:rPr>
          <w:rFonts w:ascii="Times New Roman" w:hAnsi="Times New Roman"/>
          <w:b/>
          <w:sz w:val="20"/>
        </w:rPr>
      </w:pPr>
      <w:bookmarkStart w:id="31" w:name="d143488dex12.htm"/>
      <w:bookmarkStart w:id="32" w:name="ksd143488dex12"/>
      <w:bookmarkEnd w:id="31"/>
      <w:bookmarkEnd w:id="32"/>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AGREEMENT </w:t>
      </w:r>
    </w:p>
    <w:p>
      <w:pPr>
        <w:pStyle w:val="TextBody"/>
        <w:bidi w:val="0"/>
        <w:spacing w:before="240" w:after="0"/>
        <w:jc w:val="righ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Kodiak Sciences Inc., a Delaware corporation (the “</w:t>
      </w:r>
      <w:r>
        <w:rPr>
          <w:rFonts w:ascii="Times New Roman" w:hAnsi="Times New Roman"/>
          <w:b/>
          <w:sz w:val="20"/>
        </w:rPr>
        <w:t>Company</w:t>
      </w:r>
      <w:r>
        <w:rPr>
          <w:rFonts w:ascii="Times New Roman" w:hAnsi="Times New Roman"/>
          <w:sz w:val="20"/>
        </w:rPr>
        <w:t>”), confirms its agreement with J.P. Morgan Securities LLC, as agent and/or principal under any Terms Agreement (as defined in Section 1(a) below) (“</w:t>
      </w:r>
      <w:r>
        <w:rPr>
          <w:rFonts w:ascii="Times New Roman" w:hAnsi="Times New Roman"/>
          <w:b/>
          <w:sz w:val="20"/>
        </w:rPr>
        <w:t>you</w:t>
      </w:r>
      <w:r>
        <w:rPr>
          <w:rFonts w:ascii="Times New Roman" w:hAnsi="Times New Roman"/>
          <w:sz w:val="20"/>
        </w:rPr>
        <w:t>” or the “</w:t>
      </w:r>
      <w:r>
        <w:rPr>
          <w:rFonts w:ascii="Times New Roman" w:hAnsi="Times New Roman"/>
          <w:b/>
          <w:sz w:val="20"/>
        </w:rPr>
        <w:t>Agent</w:t>
      </w:r>
      <w:r>
        <w:rPr>
          <w:rFonts w:ascii="Times New Roman" w:hAnsi="Times New Roman"/>
          <w:sz w:val="20"/>
        </w:rPr>
        <w:t>”), with respect to the issuance and sale from time to time by the Company, in the manner and subject to the terms and conditions described below in this Distribution Agreement (this “</w:t>
      </w:r>
      <w:r>
        <w:rPr>
          <w:rFonts w:ascii="Times New Roman" w:hAnsi="Times New Roman"/>
          <w:b/>
          <w:sz w:val="20"/>
        </w:rPr>
        <w:t>Agreement</w:t>
      </w:r>
      <w:r>
        <w:rPr>
          <w:rFonts w:ascii="Times New Roman" w:hAnsi="Times New Roman"/>
          <w:sz w:val="20"/>
        </w:rPr>
        <w:t>”), of Common Stock, $0.0001 par value per share (the “</w:t>
      </w:r>
      <w:r>
        <w:rPr>
          <w:rFonts w:ascii="Times New Roman" w:hAnsi="Times New Roman"/>
          <w:b/>
          <w:sz w:val="20"/>
        </w:rPr>
        <w:t>Common Stock</w:t>
      </w:r>
      <w:r>
        <w:rPr>
          <w:rFonts w:ascii="Times New Roman" w:hAnsi="Times New Roman"/>
          <w:sz w:val="20"/>
        </w:rPr>
        <w:t>”), of the Company having an aggregate Gross Sales Price (as defined in Section 2(b) below) of up to $350,000,000 (the “</w:t>
      </w:r>
      <w:r>
        <w:rPr>
          <w:rFonts w:ascii="Times New Roman" w:hAnsi="Times New Roman"/>
          <w:b/>
          <w:sz w:val="20"/>
        </w:rPr>
        <w:t>Maximum Amount</w:t>
      </w:r>
      <w:r>
        <w:rPr>
          <w:rFonts w:ascii="Times New Roman" w:hAnsi="Times New Roman"/>
          <w:sz w:val="20"/>
        </w:rPr>
        <w:t>”) on the terms set forth in Section 1 of this Agreement. Such shares are hereinafter collectively referred to as the “</w:t>
      </w:r>
      <w:r>
        <w:rPr>
          <w:rFonts w:ascii="Times New Roman" w:hAnsi="Times New Roman"/>
          <w:b/>
          <w:sz w:val="20"/>
        </w:rPr>
        <w:t>Shares</w:t>
      </w:r>
      <w:r>
        <w:rPr>
          <w:rFonts w:ascii="Times New Roman" w:hAnsi="Times New Roman"/>
          <w:sz w:val="20"/>
        </w:rPr>
        <w:t xml:space="preserve">” and are described in the Prospectus referred to below. </w:t>
      </w:r>
    </w:p>
    <w:p>
      <w:pPr>
        <w:pStyle w:val="TextBody"/>
        <w:bidi w:val="0"/>
        <w:spacing w:before="240" w:after="0"/>
        <w:jc w:val="left"/>
        <w:rPr>
          <w:rFonts w:ascii="Times New Roman" w:hAnsi="Times New Roman"/>
          <w:sz w:val="20"/>
        </w:rPr>
      </w:pPr>
      <w:r>
        <w:rPr>
          <w:rFonts w:ascii="Times New Roman" w:hAnsi="Times New Roman"/>
          <w:sz w:val="20"/>
        </w:rPr>
        <w:t>The Company has filed with the Securities and Exchange Commission (the “</w:t>
      </w:r>
      <w:r>
        <w:rPr>
          <w:rFonts w:ascii="Times New Roman" w:hAnsi="Times New Roman"/>
          <w:b/>
          <w:sz w:val="20"/>
        </w:rPr>
        <w:t>Commission</w:t>
      </w:r>
      <w:r>
        <w:rPr>
          <w:rFonts w:ascii="Times New Roman" w:hAnsi="Times New Roman"/>
          <w:sz w:val="20"/>
        </w:rPr>
        <w:t>”) an automatic shelf registration statement on Form S-3ASR (the “</w:t>
      </w:r>
      <w:r>
        <w:rPr>
          <w:rFonts w:ascii="Times New Roman" w:hAnsi="Times New Roman"/>
          <w:b/>
          <w:sz w:val="20"/>
        </w:rPr>
        <w:t>registration statement</w:t>
      </w:r>
      <w:r>
        <w:rPr>
          <w:rFonts w:ascii="Times New Roman" w:hAnsi="Times New Roman"/>
          <w:sz w:val="20"/>
        </w:rPr>
        <w:t>”) for the registration of the Shares and other securities of the Company under the Securities Act of 1933, as amended, and the rules and regulations of the Commission thereunder (collectively, the “</w:t>
      </w:r>
      <w:r>
        <w:rPr>
          <w:rFonts w:ascii="Times New Roman" w:hAnsi="Times New Roman"/>
          <w:b/>
          <w:sz w:val="20"/>
        </w:rPr>
        <w:t>Act</w:t>
      </w:r>
      <w:r>
        <w:rPr>
          <w:rFonts w:ascii="Times New Roman" w:hAnsi="Times New Roman"/>
          <w:sz w:val="20"/>
        </w:rPr>
        <w:t>”); and such registration statement sets forth the terms of the offering, sale and plan of distribution of the Shares and contains additional information concerning the Company and its business. Except where the context otherwise requires, “</w:t>
      </w:r>
      <w:r>
        <w:rPr>
          <w:rFonts w:ascii="Times New Roman" w:hAnsi="Times New Roman"/>
          <w:b/>
          <w:sz w:val="20"/>
        </w:rPr>
        <w:t>Registration Statement</w:t>
      </w:r>
      <w:r>
        <w:rPr>
          <w:rFonts w:ascii="Times New Roman" w:hAnsi="Times New Roman"/>
          <w:sz w:val="20"/>
        </w:rPr>
        <w:t>,” as used herein, means the registration statement, as amended at the time of such registration statement’s effectiveness for purposes of Section 11 of the Act, as such section applies to the Agent, including (1) all documents filed as a part thereof or incorporated or deemed to be incorporated by reference therein and (2) any information contained or incorporated by reference in a prospectus filed with the Commission pursuant to Rule 424(b) under the Act, to the extent such information is deemed, pursuant to Rule 430B or Rule 430C under the Act, to be part of the registration statement at the effective time. “</w:t>
      </w:r>
      <w:r>
        <w:rPr>
          <w:rFonts w:ascii="Times New Roman" w:hAnsi="Times New Roman"/>
          <w:b/>
          <w:sz w:val="20"/>
        </w:rPr>
        <w:t>Basic Prospectus</w:t>
      </w:r>
      <w:r>
        <w:rPr>
          <w:rFonts w:ascii="Times New Roman" w:hAnsi="Times New Roman"/>
          <w:sz w:val="20"/>
        </w:rPr>
        <w:t>” means the prospectus dated October 20, 2026 filed as part of the Registration Statement, including the documents incorporated by reference therein as of the date of such prospectus; “</w:t>
      </w:r>
      <w:r>
        <w:rPr>
          <w:rFonts w:ascii="Times New Roman" w:hAnsi="Times New Roman"/>
          <w:b/>
          <w:sz w:val="20"/>
        </w:rPr>
        <w:t>Prospectus Supplement</w:t>
      </w:r>
      <w:r>
        <w:rPr>
          <w:rFonts w:ascii="Times New Roman" w:hAnsi="Times New Roman"/>
          <w:sz w:val="20"/>
        </w:rPr>
        <w:t>” means the most recent prospectus supplement relating to the Shares, to be filed by the Company with the Commission pursuant to Rule 424(b) under the Act on or before the second business day after the date of its first use in connection with a public offering or sale of Shares pursuant hereto (or such earlier time as may be required under the Act), in the form furnished by the Company to the Agent in connection with the offering of the Shares; “</w:t>
      </w:r>
      <w:r>
        <w:rPr>
          <w:rFonts w:ascii="Times New Roman" w:hAnsi="Times New Roman"/>
          <w:b/>
          <w:sz w:val="20"/>
        </w:rPr>
        <w:t>Prospectus</w:t>
      </w:r>
      <w:r>
        <w:rPr>
          <w:rFonts w:ascii="Times New Roman" w:hAnsi="Times New Roman"/>
          <w:sz w:val="20"/>
        </w:rPr>
        <w:t>” means the Prospectus Supplement (and any additional prospectus supplement prepared in accordance with the provision of Section 4(h) of this Agreement and filed in accordance with the provisions of Rule 424(b)) together with the Basic Prospectus attached to or used with the Prospectus Supplement; and “</w:t>
      </w:r>
      <w:r>
        <w:rPr>
          <w:rFonts w:ascii="Times New Roman" w:hAnsi="Times New Roman"/>
          <w:b/>
          <w:sz w:val="20"/>
        </w:rPr>
        <w:t>Permitted Free Writing Prospectus</w:t>
      </w:r>
      <w:r>
        <w:rPr>
          <w:rFonts w:ascii="Times New Roman" w:hAnsi="Times New Roman"/>
          <w:sz w:val="20"/>
        </w:rPr>
        <w:t xml:space="preserve">” has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meaning set forth in Section 3(b). Any reference herein to the Registration Statement, the Basic Prospectus, the Prospectus Supplement, the Prospectus or any Permitted Free Writing Prospectus shall, unless otherwise stated, be deemed to refer to and include the documents, if any, incorporated by reference, or deemed to be incorporated by reference, therein (the “</w:t>
      </w:r>
      <w:r>
        <w:rPr>
          <w:rFonts w:ascii="Times New Roman" w:hAnsi="Times New Roman"/>
          <w:b/>
          <w:sz w:val="20"/>
        </w:rPr>
        <w:t>Incorporated Documents</w:t>
      </w:r>
      <w:r>
        <w:rPr>
          <w:rFonts w:ascii="Times New Roman" w:hAnsi="Times New Roman"/>
          <w:sz w:val="20"/>
        </w:rPr>
        <w:t>”), including, unless the context otherwise requires, the documents, if any, filed as exhibits to such Incorporated Documents. Any reference herein to the terms “amend,” “amendment” or “supplement” with respect to the Registration Statement, the Basic Prospectus, the Prospectus Supplement, the Prospectus or any Permitted Free Writing Prospectus shall, unless stated otherwise, be deemed to refer to and include the filing of any document under the Securities Exchange Act of 1934, as amended, and the rules and regulations thereunder (collectively, the “</w:t>
      </w:r>
      <w:r>
        <w:rPr>
          <w:rFonts w:ascii="Times New Roman" w:hAnsi="Times New Roman"/>
          <w:b/>
          <w:sz w:val="20"/>
        </w:rPr>
        <w:t>Exchange Act</w:t>
      </w:r>
      <w:r>
        <w:rPr>
          <w:rFonts w:ascii="Times New Roman" w:hAnsi="Times New Roman"/>
          <w:sz w:val="20"/>
        </w:rPr>
        <w:t xml:space="preserve">”) on or after the initial effective date of the Registration Statement, or the date of the Basic Prospectus, the Prospectus Supplement, the Prospectus or such Permitted Free Writing Prospectus, as the case may be, and deemed to be incorporated therein by reference. References in this Agreement to financial statements or other information that is “contained,” “included,” “described,” “set forth” or “provided” in the Registration Statement, the Basic Prospectus, the Prospectus Supplement, the Prospectus or any Permitted Free Writing Prospectus and any similar references shall, unless stated otherwise, include any information incorporated or deemed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Agent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basis of the representations, warranties and agreements and subject to the terms and conditions set forth herein and provided the Company provides the Agent with any due diligence materials and information reasonably requested by the Agent necessary for the Agent to satisfy its due diligence obligations, on any Exchange Business Day (as defined below) selected by the Company, the Company and the Agent shall enter into an agreement in accordance with Section 2 hereof regarding the number of Shares to be placed by the Agent, as agent, and the manner in which and other terms upon which such placement is to occur (each such transaction being referred to as an “</w:t>
      </w:r>
      <w:r>
        <w:rPr>
          <w:rFonts w:ascii="Times New Roman" w:hAnsi="Times New Roman"/>
          <w:b/>
          <w:sz w:val="20"/>
        </w:rPr>
        <w:t>Agency Transaction</w:t>
      </w:r>
      <w:r>
        <w:rPr>
          <w:rFonts w:ascii="Times New Roman" w:hAnsi="Times New Roman"/>
          <w:sz w:val="20"/>
        </w:rPr>
        <w:t>”). The Company may also offer to sell the Shares directly to the Agent, as principal, in which event such parties shall enter into a separate agreement (each, a “</w:t>
      </w:r>
      <w:r>
        <w:rPr>
          <w:rFonts w:ascii="Times New Roman" w:hAnsi="Times New Roman"/>
          <w:b/>
          <w:sz w:val="20"/>
        </w:rPr>
        <w:t>Terms Agreement</w:t>
      </w:r>
      <w:r>
        <w:rPr>
          <w:rFonts w:ascii="Times New Roman" w:hAnsi="Times New Roman"/>
          <w:sz w:val="20"/>
        </w:rPr>
        <w:t>”) in substantially the form of Exhibit A hereto (with such changes thereto as may be agreed upon by the Company and the Agent to accommodate a transaction involving additional underwriters), relating to such sale in accordance with Section 2(g) of this Agreement (each such transaction being referred to as a “</w:t>
      </w:r>
      <w:r>
        <w:rPr>
          <w:rFonts w:ascii="Times New Roman" w:hAnsi="Times New Roman"/>
          <w:b/>
          <w:sz w:val="20"/>
        </w:rPr>
        <w:t>Principal Transaction</w:t>
      </w:r>
      <w:r>
        <w:rPr>
          <w:rFonts w:ascii="Times New Roman" w:hAnsi="Times New Roman"/>
          <w:sz w:val="20"/>
        </w:rPr>
        <w:t>”). As used herein, (i) the “</w:t>
      </w:r>
      <w:r>
        <w:rPr>
          <w:rFonts w:ascii="Times New Roman" w:hAnsi="Times New Roman"/>
          <w:b/>
          <w:sz w:val="20"/>
        </w:rPr>
        <w:t>Term</w:t>
      </w:r>
      <w:r>
        <w:rPr>
          <w:rFonts w:ascii="Times New Roman" w:hAnsi="Times New Roman"/>
          <w:sz w:val="20"/>
        </w:rPr>
        <w:t>” shall be the period commencing on the date hereof and ending on the earlier of (x) the date on which the aggregate Gross Sales Price of Shares issued and sold pursuant to this Agreement and any Terms Agreements equal to the Maximum Amount and (y) any termination of this Agreement pursuant to Section 8, (ii) an “</w:t>
      </w:r>
      <w:r>
        <w:rPr>
          <w:rFonts w:ascii="Times New Roman" w:hAnsi="Times New Roman"/>
          <w:b/>
          <w:sz w:val="20"/>
        </w:rPr>
        <w:t>Exchange Business Day</w:t>
      </w:r>
      <w:r>
        <w:rPr>
          <w:rFonts w:ascii="Times New Roman" w:hAnsi="Times New Roman"/>
          <w:sz w:val="20"/>
        </w:rPr>
        <w:t>” means any day during the Term that is a trading day for the Exchange other than a day on which trading on the Exchange is scheduled to close prior to its regular weekday closing time, and (iii) “</w:t>
      </w:r>
      <w:r>
        <w:rPr>
          <w:rFonts w:ascii="Times New Roman" w:hAnsi="Times New Roman"/>
          <w:b/>
          <w:sz w:val="20"/>
        </w:rPr>
        <w:t>Exchange</w:t>
      </w:r>
      <w:r>
        <w:rPr>
          <w:rFonts w:ascii="Times New Roman" w:hAnsi="Times New Roman"/>
          <w:sz w:val="20"/>
        </w:rPr>
        <w:t xml:space="preserve">” means the Nasdaq Global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terms and conditions set forth below, the Company appoints the Agent as agent in connection with the offer and sale of Shares in any Agency Transactions entered into hereunder. The Agent will use commercially reasonable efforts, consistent with its normal trading and sales practices, to sell such Shares in accordance with the terms and subject to the conditions hereof and of the applicable Transaction Acceptance (as defined below). Neither the Company nor the Agent shall have any obligation to enter into an Agency Transaction. The Company shall be obligated to issue and sell through the Agent, and the Agent shall be obligated to use commercially reasonable efforts, consistent with its normal trading and sales practices and as provided herein and in the applicable Transaction Acceptance, to place Shares only if and when the Company makes a Transaction Proposal to the Agent related to such an Agency Transaction and a Transaction Acceptance related to such Agency Transaction has been delivered to the Company by the Agent as provided in Section 2 below. </w:t>
      </w:r>
    </w:p>
    <w:p>
      <w:pPr>
        <w:pStyle w:val="TextBody"/>
        <w:bidi w:val="0"/>
        <w:spacing w:before="240" w:after="0"/>
        <w:jc w:val="left"/>
        <w:rPr>
          <w:rFonts w:ascii="Times New Roman" w:hAnsi="Times New Roman"/>
          <w:sz w:val="20"/>
        </w:rPr>
      </w:pPr>
      <w:r>
        <w:rPr>
          <w:rFonts w:ascii="Times New Roman" w:hAnsi="Times New Roman"/>
          <w:sz w:val="20"/>
        </w:rPr>
        <w:t>(c) The Agent, as agent in any Agency Transaction, hereby covenants and agrees not to make any sales of the Shares on behalf of the Company pursuant to this Agreement other than (A) by means of ordinary brokers’ transactions between members of the Exchange that qualify for delivery of a Prospectus in accordance with Rule 153 under the Act and meet the definition of an “at the market offering” under Rule 415(a)(4) under the Act (such transactions are hereinafter referred to as “</w:t>
      </w:r>
      <w:r>
        <w:rPr>
          <w:rFonts w:ascii="Times New Roman" w:hAnsi="Times New Roman"/>
          <w:b/>
          <w:sz w:val="20"/>
        </w:rPr>
        <w:t>At the Market Offerings</w:t>
      </w:r>
      <w:r>
        <w:rPr>
          <w:rFonts w:ascii="Times New Roman" w:hAnsi="Times New Roman"/>
          <w:sz w:val="20"/>
        </w:rPr>
        <w:t xml:space="preserve">”) and (B) such other sales of the Shares on behalf of the Company in its capacity as agent of the Company as shall be agreed by the Company and the Agent in writing. </w:t>
      </w:r>
    </w:p>
    <w:p>
      <w:pPr>
        <w:pStyle w:val="TextBody"/>
        <w:bidi w:val="0"/>
        <w:spacing w:before="240" w:after="0"/>
        <w:jc w:val="left"/>
        <w:rPr>
          <w:rFonts w:ascii="Times New Roman" w:hAnsi="Times New Roman"/>
          <w:sz w:val="20"/>
        </w:rPr>
      </w:pPr>
      <w:r>
        <w:rPr>
          <w:rFonts w:ascii="Times New Roman" w:hAnsi="Times New Roman"/>
          <w:sz w:val="20"/>
        </w:rPr>
        <w:t xml:space="preserve">(d) If Shares are to be sold in an Agency Transaction in an At the Market Offering, the Agent will confirm in writing to the Company the number of Shares sold on any Exchange Business Day and the related Gross Sales Price and Net Sales Price (as each of such terms is defined in Section 2(b) below) no later than the opening of trading on the immediately following Exchange Business Day.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shall default on its obligation to deliver Shares to the Agent pursuant to the terms of any Agency Transaction or Terms Agreement, the Company shall (i) indemnify and hold harmless the Agent and its successors and assigns from and against any and all losses, claims, damages, liabilities and reasonable and documented expenses arising from or as a result of such default by the Company and (ii) notwithstanding any such default, pay to the Agent the commission to which it would otherwise be entitled in connection with such sale in accordance with Section 2(b) below.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acknowledges and agrees that (i) there can be no assurance that the Agent will be successful in selling the Shares, (ii) the Agent shall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in accordance with the terms of this Agreement, and (iii) the Agent shall be under no obligation to purchase Shares on a principal basis pursuant to this Agreement, except as may otherwise be specifically agreed by the Agent and the Company in a Terms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Transaction Acceptances and Terms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may, from time to time during the Term, propose to the Agent that they enter into an Agency Transaction to be executed on a specified Exchange Business Day or over a specified period of Exchange Business Days, which proposal shall be made to the Agent by telephone (confirmed promptly by e-mail) or by email (with receipt confirmed by telephone or appropriate, non-automated e-mail) from any of the individuals listed as an authorized representative of the Company on Schedule A hereto to make such sales and shall set forth the information specified below (each, a “</w:t>
      </w:r>
      <w:r>
        <w:rPr>
          <w:rFonts w:ascii="Times New Roman" w:hAnsi="Times New Roman"/>
          <w:b/>
          <w:sz w:val="20"/>
        </w:rPr>
        <w:t>Transaction Proposal</w:t>
      </w:r>
      <w:r>
        <w:rPr>
          <w:rFonts w:ascii="Times New Roman" w:hAnsi="Times New Roman"/>
          <w:sz w:val="20"/>
        </w:rPr>
        <w:t>”). If the Agent agrees to the terms of such proposed Agency Transaction or if the Company and the Agent mutually agree to modified terms for such proposed Agency Transaction, then the Agent shall promptly deliver to the Company by email a notice (each, a “</w:t>
      </w:r>
      <w:r>
        <w:rPr>
          <w:rFonts w:ascii="Times New Roman" w:hAnsi="Times New Roman"/>
          <w:b/>
          <w:sz w:val="20"/>
        </w:rPr>
        <w:t>Transaction Acceptance</w:t>
      </w:r>
      <w:r>
        <w:rPr>
          <w:rFonts w:ascii="Times New Roman" w:hAnsi="Times New Roman"/>
          <w:sz w:val="20"/>
        </w:rPr>
        <w:t xml:space="preserve">”) confirming the terms of such proposed Agency Transaction as set forth in such Transaction Proposal or setting forth the modified terms for such proposed Agency Transaction as agreed by the Company and the Agent, as the case may be, whereupon such Agency Transaction shall become a binding agreement between the Company and the Agent. Each Transaction Proposal shall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the Exchange Business Day(s) on which the Shares subject to such Agency Transaction are intended to be sold (each, a “</w:t>
            </w:r>
            <w:r>
              <w:rPr>
                <w:rFonts w:ascii="Times New Roman" w:hAnsi="Times New Roman"/>
                <w:b/>
                <w:sz w:val="20"/>
              </w:rPr>
              <w:t>Purchase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the maximum number of Shares to be sold by the Agent (the “</w:t>
            </w:r>
            <w:r>
              <w:rPr>
                <w:rFonts w:ascii="Times New Roman" w:hAnsi="Times New Roman"/>
                <w:b/>
                <w:sz w:val="20"/>
              </w:rPr>
              <w:t>Specified Number of Shares</w:t>
            </w:r>
            <w:r>
              <w:rPr>
                <w:rFonts w:ascii="Times New Roman" w:hAnsi="Times New Roman"/>
                <w:sz w:val="20"/>
              </w:rPr>
              <w:t xml:space="preserve">”) on, or over the course of, such Purchase Date(s), or as otherwise agreed between the Company and Agent and documented in the relevant Transaction Acceptance;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the lowest price, if any, at which the Company is willing to sell Shares on each such Purchase Date or a formula pursuant to which such lowest price shall be determined (each, a “</w:t>
            </w:r>
            <w:r>
              <w:rPr>
                <w:rFonts w:ascii="Times New Roman" w:hAnsi="Times New Roman"/>
                <w:b/>
                <w:sz w:val="20"/>
              </w:rPr>
              <w:t>Floor Price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3% of the Gross Sales Price, the Agent’s discount or commission.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Transaction Proposal shall not set forth a Specified Number of Shares and Floor Price the product of which, when added to the aggregate Gross Sales Price of Shares previously purchased and to be purchased pursuant to pending Transaction Acceptances (if any) hereunder and any Terms Agreements, results or could result in an aggregate Gross Sales Price of Shares that would exceed the Maximum Amount, nor shall it set forth a Floor Price which is lower than the minimum price authorized from time to time by the Company’s board of directors or, if permitted by applicable law and the Company’s charter and by-laws, a duly authorized committee thereof. The Company shall have responsibility for maintaining records with respect to the aggregate number and aggregate Gross Sales Price of Shares sold and for otherwise monitoring the availability of Shares for sale under the Registration Statement and for insuring that the aggregate number and aggregate Gross Sales Price of Shares offered and sold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exceed, and the price at which any Shares are offered or sold is not lower than, the aggregate number and aggregate Gross Sales Price of Shares and the minimum price authorized from time to time by the Company’s board of directors or, if permitted by applicable law and the Company’s charter and by-laws, a duly authorized committee thereof. In the event that more than one Transaction Acceptance with respect to any Purchase Date(s) is delivered by the Agent to the Company, the latest Transaction Acceptance shall govern any sales of Shares for the relevant Purchase Date(s), except to the extent of any action occurring pursuant to a prior Transaction Acceptance and prior to the delivery to the Company of the latest Transaction Acceptance. The Company or the Agent may, upon notice to the other such party by e-mail (with receipt confirmed by telephone or appropriate, non-automated e-mail) or telephone (confirmed promptly by e-mail), suspend or terminate the offering of the Shares pursuant to Agency Transactions for any reason;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or termination shall not affect or impair the parties’ respective obligations with respect to the Shares sold hereunder prior to the giving of such notice or their respective obligations under any Terms Agreement. Notwithstanding the foregoing, if the terms of any Agency Transaction contemplate that Shares shall be sold on more than one Purchase Date, then the Company and the Agent shall mutually agree to such additional terms and conditions as they deem reasonably necessary in respect of such multiple Purchase Dates, and such additional terms and conditions shall be set forth in or confirmed by, as the case may be, the relevant Transaction Acceptance and be binding to the same extent as any other terms contained therein. </w:t>
      </w:r>
    </w:p>
    <w:p>
      <w:pPr>
        <w:pStyle w:val="TextBody"/>
        <w:bidi w:val="0"/>
        <w:spacing w:before="240" w:after="0"/>
        <w:jc w:val="left"/>
        <w:rPr>
          <w:rFonts w:ascii="Times New Roman" w:hAnsi="Times New Roman"/>
          <w:sz w:val="20"/>
        </w:rPr>
      </w:pPr>
      <w:r>
        <w:rPr>
          <w:rFonts w:ascii="Times New Roman" w:hAnsi="Times New Roman"/>
          <w:sz w:val="20"/>
        </w:rPr>
        <w:t>(b) The Purchase Date(s) in respect of the Shares deliverable pursuant to any Transaction Acceptance shall be set forth in or confirmed by, as the case may be, the applicable Transaction Acceptance. Except as otherwise agreed between the Company and the Agent, the Agent’s commission for any Shares sold through the Agent pursuant to this Agreement shall be a percentage, not to exceed 3%, of the actual sales price of such Shares (the “</w:t>
      </w:r>
      <w:r>
        <w:rPr>
          <w:rFonts w:ascii="Times New Roman" w:hAnsi="Times New Roman"/>
          <w:b/>
          <w:sz w:val="20"/>
        </w:rPr>
        <w:t>Gross Sales Price</w:t>
      </w:r>
      <w:r>
        <w:rPr>
          <w:rFonts w:ascii="Times New Roman" w:hAnsi="Times New Roman"/>
          <w:sz w:val="20"/>
        </w:rPr>
        <w:t xml:space="preserve">”), which commission shall be as set forth in or confirmed by, as the case may be, the applicable Transaction Acceptance;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such commission shall not apply when the Agent acts as principal, in which case such commission or a discount shall be set forth in the applicable Terms Agreement. Notwithstanding the foregoing, in the event the Company engages the Agent for a sale of Shares in an Agency Transaction that would constitute a “distribution,” within the meaning of Rule 100 of Regulation M under the Exchange Act or a “block” within the meaning of Rule 10b-18(a)(5) under the Exchange Act, the Company will provide the Agent, at the Agent’s request and upon reasonable advance notice to the Company, on or prior to the Settlement Date the opinions of counsel, accountants’ letters and officers’ certificates pursuant to Section 5 hereof, each dated the Settlement Date, and such other documents and information as the Agent shall reasonably request, and the Company and the Agent will agree to compensation that is customary for the Agent with respect to such transaction. The Gross Sales Price less the Agent’s commission and after deduction for any transaction fees, transfer taxes or similar taxes or fees imposed by any governmental, regulatory or self-regulatory organization in respect of the sale of the applicable Shares is referred to herein as the “</w:t>
      </w:r>
      <w:r>
        <w:rPr>
          <w:rFonts w:ascii="Times New Roman" w:hAnsi="Times New Roman"/>
          <w:b/>
          <w:sz w:val="20"/>
        </w:rPr>
        <w:t>Net Sales Price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Payment of the Net Sales Price for Shares sold by the Company on any Purchase Date pursuant to a Transaction Acceptance shall be made to the Company by wire transfer of immediately available funds to the account of the Company (which the Company shall provide to the Agent at least one Exchange Business Day prior to the applicable Agency Settlement Date (as defined below)) against delivery of such Shares to the Agent’s account, or an account of the Agent’s designee, at The Depository Trust Company through its Deposit and Withdrawal at Custodian System (“</w:t>
      </w:r>
      <w:r>
        <w:rPr>
          <w:rFonts w:ascii="Times New Roman" w:hAnsi="Times New Roman"/>
          <w:b/>
          <w:sz w:val="20"/>
        </w:rPr>
        <w:t>DWAC</w:t>
      </w:r>
      <w:r>
        <w:rPr>
          <w:rFonts w:ascii="Times New Roman" w:hAnsi="Times New Roman"/>
          <w:sz w:val="20"/>
        </w:rPr>
        <w:t>”) or by such other means of delivery as may be agreed to by the Company and the Agent. Such payment and delivery shall be made at or about 10:00 a.m. (New York City time) on the Exchange Business Day (or such other day as may, from time to time, become standard industry practice for settlement of such a securities issuance or as agreed to by the Company and the Agent) following each Purchase Date (each, an “</w:t>
      </w:r>
      <w:r>
        <w:rPr>
          <w:rFonts w:ascii="Times New Roman" w:hAnsi="Times New Roman"/>
          <w:b/>
          <w:sz w:val="20"/>
        </w:rPr>
        <w:t>Agency Settlement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as set forth in or confirmed by, as the case may be, the related Transaction Acceptance, a Floor Price has been agreed to by the parties with respect to a Purchase Date, and the Agent thereafter determines and notifies the Company that the Gross Sales Price for such Agency Transaction would not be at least equal to such Floor Price, then the Company shall not be obligated to issue and sell through the Agent, and the Agent shall not be obligated to place, the Shares proposed to be sold pursuant to such Agency Transaction on such Purchase Date, unless the Company and the Agent otherwise agree in writing. </w:t>
      </w:r>
    </w:p>
    <w:p>
      <w:pPr>
        <w:pStyle w:val="TextBody"/>
        <w:bidi w:val="0"/>
        <w:spacing w:before="240" w:after="0"/>
        <w:jc w:val="left"/>
        <w:rPr>
          <w:rFonts w:ascii="Times New Roman" w:hAnsi="Times New Roman"/>
          <w:sz w:val="20"/>
        </w:rPr>
      </w:pPr>
      <w:r>
        <w:rPr>
          <w:rFonts w:ascii="Times New Roman" w:hAnsi="Times New Roman"/>
          <w:sz w:val="20"/>
        </w:rPr>
        <w:t>(e) If either party has reason to believe that the exemptive provisions set forth in Rule 101(c)(1) of Regulation M under the Exchange Act are not satisfied with respect to the Shares, it shall promptly notify the other party and sales of the Shares under this Agreement, any Transaction Acceptance or any Terms Agreement shall be suspended until that or other exemptive provisions have been satisfied in the judgment of each party. On or prior to the delivery of a prospectus that is required (whether physically or through compliance with Rule 172 under the Act or any similar rule) in connection with the offering or sale of the Shares, the Company shall calculate the average daily trading volume (as defined under “</w:t>
      </w:r>
      <w:r>
        <w:rPr>
          <w:rFonts w:ascii="Times New Roman" w:hAnsi="Times New Roman"/>
          <w:b/>
          <w:sz w:val="20"/>
        </w:rPr>
        <w:t>ADTV</w:t>
      </w:r>
      <w:r>
        <w:rPr>
          <w:rFonts w:ascii="Times New Roman" w:hAnsi="Times New Roman"/>
          <w:sz w:val="20"/>
        </w:rPr>
        <w:t xml:space="preserve">” by Rule 100 of Regulation M under the Exchange Act) of the Common Stock based on market data provided by Bloomberg L.P. or such other sources as agreed upon by the Company and the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If the Company wishes to issue and sell the Shares pursuant to this Agreement but other than as set forth in Section 2(a) of this Agreement, it will notify the Agent of the proposed terms of the Principal Transaction. If the Agent, acting as principal, wishes to accept such proposed terms (which it may decline to do for any reason in its sole discretion) or, following discussions with the Company, wishes to accept amended terms, the Company and the Agent shall enter into a Terms Agreement setting forth the terms of such Principal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terms set forth in a Terms Agreement shall not be binding on the Company or the Agent unless and until the Company and the Agent have each executed and delivered such Terms Agreement accepting all of the terms of such Terms Agreement. In the event of a conflict between the terms of this Agreement and the terms of a Terms Agreement, the terms of such Terms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Each sale of the Shares to the Agent in a Principal Transaction shall be made in accordance with the terms of this Agreement and a Terms Agreement, which shall provide for the sale of such Shares to, and the purchase thereof by, the Agent. A Terms Agreement may also specify certain provisions relating to the reoffering of such Shares by the Agent. The commitment of the Agent to purchase the Shares pursuant to any Terms Agreement shall be deemed to have been made on the basis of the representations, warranties and agreements of the Company contained, and shall be subject to the terms and conditions set forth, in this Agreement and such Terms Agreement. Any such Terms Agreement shall specify the number of the Shares or the maximum dollar amount of the Shares to be purchased by the Agent pursuant thereto, the price to be paid to the Company for such Shares, any provisions relating to rights of, and default by, underwriters, if any, acting together with the Agent in the reoffering of the Shares, and the time and date (each such time and date being referred to herein as a “</w:t>
      </w:r>
      <w:r>
        <w:rPr>
          <w:rFonts w:ascii="Times New Roman" w:hAnsi="Times New Roman"/>
          <w:b/>
          <w:sz w:val="20"/>
        </w:rPr>
        <w:t>Principal Settlement Date</w:t>
      </w:r>
      <w:r>
        <w:rPr>
          <w:rFonts w:ascii="Times New Roman" w:hAnsi="Times New Roman"/>
          <w:sz w:val="20"/>
        </w:rPr>
        <w:t>”; and, together with any Agency Settlement Date, a “</w:t>
      </w:r>
      <w:r>
        <w:rPr>
          <w:rFonts w:ascii="Times New Roman" w:hAnsi="Times New Roman"/>
          <w:b/>
          <w:sz w:val="20"/>
        </w:rPr>
        <w:t>Settlement Date</w:t>
      </w:r>
      <w:r>
        <w:rPr>
          <w:rFonts w:ascii="Times New Roman" w:hAnsi="Times New Roman"/>
          <w:sz w:val="20"/>
        </w:rPr>
        <w:t xml:space="preserve">”) and place of delivery of and payment for such Shares. </w:t>
      </w:r>
    </w:p>
    <w:p>
      <w:pPr>
        <w:pStyle w:val="TextBody"/>
        <w:bidi w:val="0"/>
        <w:spacing w:before="240" w:after="0"/>
        <w:jc w:val="left"/>
        <w:rPr>
          <w:rFonts w:ascii="Times New Roman" w:hAnsi="Times New Roman"/>
          <w:sz w:val="20"/>
        </w:rPr>
      </w:pPr>
      <w:r>
        <w:rPr>
          <w:rFonts w:ascii="Times New Roman" w:hAnsi="Times New Roman"/>
          <w:sz w:val="20"/>
        </w:rPr>
        <w:t>(h) Notwithstanding any other provision of this Agreement, the Company shall not offer, sell or deliver, or request the offer or sale, of any Shares pursuant to this Agreement (whether in an Agency Transaction or a Principal Transaction) and, by notice to the Agent given by e-mail (with receipt confirmed by telephone or appropriate, non-automated e-mail) or telephone (confirmed promptly by email), shall cancel any instructions for the offer or sale of any Shares, and the Agent shall not be obligated to offer or sell any Shares, (i) during any period in which the Company’s insider trading policy, as it exists on the date of this Agreement, would prohibit the purchases or sales of the Company’s Common Stock by any of its officers or directors, (ii) during any period in which the Company is, or could be deemed to be, in possession of material non-public information or (iii) at any time from and including the date on which the Company shall issue a press release containing, or shall otherwise publicly announce, its earnings, revenues or other results of operations (an “</w:t>
      </w:r>
      <w:r>
        <w:rPr>
          <w:rFonts w:ascii="Times New Roman" w:hAnsi="Times New Roman"/>
          <w:b/>
          <w:sz w:val="20"/>
        </w:rPr>
        <w:t>Earnings Announcement</w:t>
      </w:r>
      <w:r>
        <w:rPr>
          <w:rFonts w:ascii="Times New Roman" w:hAnsi="Times New Roman"/>
          <w:sz w:val="20"/>
        </w:rPr>
        <w:t xml:space="preserve">”) through and including the time that is 24 hours after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agrees that any offer to sell, any solicitation of an offer to buy, or any sales of Shares by the Company shall be effected only by or through the Agent on any Exchange Business Day. </w:t>
      </w:r>
    </w:p>
    <w:p>
      <w:pPr>
        <w:pStyle w:val="TextBody"/>
        <w:bidi w:val="0"/>
        <w:spacing w:before="240" w:after="0"/>
        <w:jc w:val="left"/>
        <w:rPr>
          <w:rFonts w:ascii="Times New Roman" w:hAnsi="Times New Roman"/>
          <w:sz w:val="20"/>
        </w:rPr>
      </w:pPr>
      <w:r>
        <w:rPr>
          <w:rFonts w:ascii="Times New Roman" w:hAnsi="Times New Roman"/>
          <w:sz w:val="20"/>
        </w:rPr>
        <w:t xml:space="preserve">(j) Anything in this Agreement to the contrary notwithstanding, the Company shall not authorize the issuance and sale of, and the Agent, as sales agent, shall not be obligated to use its commercially reasonable efforts, consistent with its normal trading and sales practices, to sell, any Shares at a price lower than the minimum price, or in a number or with an aggregate gross or net sales price in excess of the number or aggregate gross or net sales price, as the case may be, authorized from time to time to be issued and sold under this Agreement and any Terms Agreement, in each case by the Company’s board of directors or, if permitted by applicable law and the Company’s charter and by-laws, a duly authorized committee thereof, or in a number in excess of the number of Shares approved for listing on the Exchange, or in excess of the number or amount of Shares available for issuance on the Registration Statement, it being understood and agreed by the parties hereto that compliance with any such limitations shall be the sole responsibility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Warranties and Agreements of the Company</w:t>
      </w:r>
      <w:r>
        <w:rPr>
          <w:rFonts w:ascii="Times New Roman" w:hAnsi="Times New Roman"/>
          <w:sz w:val="20"/>
        </w:rPr>
        <w:t>. The Company represents and warrants to, and agrees with, the Agent, on and as of (i) the date hereof, (ii) each date on which the Company receives a Transaction Acceptance (the “</w:t>
      </w:r>
      <w:r>
        <w:rPr>
          <w:rFonts w:ascii="Times New Roman" w:hAnsi="Times New Roman"/>
          <w:b/>
          <w:sz w:val="20"/>
        </w:rPr>
        <w:t>Time of Acceptance</w:t>
      </w:r>
      <w:r>
        <w:rPr>
          <w:rFonts w:ascii="Times New Roman" w:hAnsi="Times New Roman"/>
          <w:sz w:val="20"/>
        </w:rPr>
        <w:t>”), (iii) each date on which the Company executes and delivers a Terms Agreement, (iv) each Time of Sale (as defined in Section 3(a)), (v) each Settlement Date and (vi) each Bring-Down Delivery Date (as defined in Section 6(b)) (each such date listed in (i) through (vi), a “</w:t>
      </w:r>
      <w:r>
        <w:rPr>
          <w:rFonts w:ascii="Times New Roman" w:hAnsi="Times New Roman"/>
          <w:b/>
          <w:sz w:val="20"/>
        </w:rPr>
        <w:t>Representation Date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The Registration Statement is an “automatic shelf registration statement” as defined under Rule 405 of the Act that has been filed with the Commission not earlier than three years prior to the date hereof; there is no order preventing or suspending the use of the Registration Statement, the Prospectus or any Permitted Free Writing Prospectus, and, to the knowledge of the Company, no proceeding for that purpose or pursuant to Section 8A of the Act against the Company or related to the offering has been initiated or, to the knowledge of the Company, threatened by the Commission; no notice of objection of the Commission to the use of such Registration Statement pursuant to Rule 401(g)(2) under the Act has been received by the Company; the Registration Statement complied when it initially became effective, complies as of the date hereof and, as then amended or supplemented, as of each other Representation Date will comply, in all material respects, with the requirements of the Act; the conditions to the use of Form S-3 in connection with the offering and sale of the Shares as contemplated hereby have been satisfied; the Registration Statement meets, and the offering and sale of the Shares as contemplated hereby comply with, the requirements of Rule 415 under the Act (including, without limitation, Rule 415(a)(5)); the Prospectus complied or will comply, at the time it was or will be filed with the Commission, and will comply, as then amended or supplemented, as of each Representation Date, in all material respects, with the requirements of the Act; the Registration Statement did not, as of the time of its initial effectiveness, and does not or will not, as then amended or supplemented, as of each Representation Date, contain an untrue statement of a material fact or omit to state a material fact required to be stated therein or necessary to make the statements therein not misleading; as of each Representation Date, the Prospectus, as then amended or supplemented, together with all of the then issued Permitted Free Writing Prospectuses, if any, will not contain an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 xml:space="preserve">provided, however, </w:t>
      </w:r>
      <w:r>
        <w:rPr>
          <w:rFonts w:ascii="Times New Roman" w:hAnsi="Times New Roman"/>
          <w:sz w:val="20"/>
        </w:rPr>
        <w:t>that the Company makes no representation or warranty with respect to any statement in or omission from the Registration Statement, the Prospectus or any Permitted Free Writing Prospectus made in reliance upon and in conformity with information concerning the Agent and furnished in writing by or on behalf of the Agent expressly for use in the Registration Statement, the Prospectus or such Permitted Free Writing Prospectus (it being understood that such information consists solely of the information specified in Section 9(b)). As used herein, “</w:t>
      </w:r>
      <w:r>
        <w:rPr>
          <w:rFonts w:ascii="Times New Roman" w:hAnsi="Times New Roman"/>
          <w:b/>
          <w:sz w:val="20"/>
        </w:rPr>
        <w:t>Time of Sale</w:t>
      </w:r>
      <w:r>
        <w:rPr>
          <w:rFonts w:ascii="Times New Roman" w:hAnsi="Times New Roman"/>
          <w:sz w:val="20"/>
        </w:rPr>
        <w:t xml:space="preserve">” means (i) with respect to each offering of Shares pursuant to this Agreement, the time of the Agent’s initial entry into contracts with investors for the sale of such Shares and (ii) with respect to each offering of Shares pursuant to any relevant Terms Agreement, the time of sale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Permitted Free Writing Prospectus</w:t>
      </w:r>
      <w:r>
        <w:rPr>
          <w:rFonts w:ascii="Times New Roman" w:hAnsi="Times New Roman"/>
          <w:sz w:val="20"/>
        </w:rPr>
        <w:t>. Prior to the execution of this Agreement, the Company has not, directly or indirectly, offered or sold any of the Shares by means of any “prospectus” (within the meaning of the Act) or used any “prospectus” (within the meaning of the Act) in connection with the offer or sale of the Shares, in each case other than the Basic Prospectus. The Company represents and agrees that, unless it obtains the prior consent of the Agent, until the termination of this Agreement, it has not made and will not make any offer relating to the Shares that would constitute an “issuer free writing prospectus” (as defined in Rule 433 under the Act) or that would otherwise constitute a “free writing prospectus” (as defined in Rule 405 under the Act) other than any Permitted Free Writing Prospectus. Any such free writing prospectus relating to the Shares consented to by the Agent (including any Free Writing Prospectus prepared by the Company solely for use in connection with the offering contemplated by a particular Terms Agreement) is hereinafter referred to as a “</w:t>
      </w:r>
      <w:r>
        <w:rPr>
          <w:rFonts w:ascii="Times New Roman" w:hAnsi="Times New Roman"/>
          <w:b/>
          <w:sz w:val="20"/>
        </w:rPr>
        <w:t>Permitted Free Writing Prospectus</w:t>
      </w:r>
      <w:r>
        <w:rPr>
          <w:rFonts w:ascii="Times New Roman" w:hAnsi="Times New Roman"/>
          <w:sz w:val="20"/>
        </w:rPr>
        <w:t xml:space="preserve">”. The Company has complied and will comply in all material respects with the requirements of Rule 433 under the Act applicable to any Permitted Free Writing Prospectus, including timely filing with the Commission where required, legending and record keeping. The conditions set forth in one or more of subclauses (i) through (iv), inclusive, of Rule 433(b)(1) under the Act are satisfied, and the registration statement relating to the offering of the Shares contemplated hereby, as initially filed with the Commission, includes a prospectus that, other than by reason of Rule 433 under the Act, satisfies the requirements of Section 10 of the Act; the Company is not disqualified, by reason of Rule 164(f) or (g) under the Act, from using, in connection with the offer and sale of the Shares, “free writing prospectuses” (as defined in Rule 405 under the Act) pursuant to Rules 164 and 433 under the Act; the Company was not as of each eligibility determination date for purposes of Rules 164 and 433 under the Act with respect to the offering of the Shares contemplated by the Registration Statement and this Agreement and is not an “ineligible issuer” and was as of each such eligibility date and is a “well-known seasoned issuer” (each as defined in Rule 405 under the Act). The Company has paid or, no later than the business day after the date of this Agreement, will pay the registration fee for the offering of the Maximum Amount of Shares pursuant to Rule 457 under the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Incorporated Documents</w:t>
      </w:r>
      <w:r>
        <w:rPr>
          <w:rFonts w:ascii="Times New Roman" w:hAnsi="Times New Roman"/>
          <w:sz w:val="20"/>
        </w:rPr>
        <w:t xml:space="preserve">. The Incorporated Documents, when they were filed with the Commission (or, if any amendment with respect to any such document was filed, when such amendment was filed), conformed in all material respects to the requirements of the Act or the Exchange Act, as applicable, and none of such documents contained any untrue statement of a material fact or omitted to state a material fact required to be stated therein or necessary to make the statements therein, in light of the circumstances under which they were made, not misleading; and any further documents so filed during the Term and incorporated by reference in the Registration Statement, the Prospectus or any Permitted Free Writing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its consolidated subsidiaries included or incorporated by reference in the Registration Statement, the Prospectus or any Permitted Free Writing Prospectus comply in all material respects with the applicable requirements of the Act and the Exchange Act,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applicable, and present fairly, in all material respects, the consolidated financial position of the Company and its consolidated subsidiaries as of the dates indicated and the results of their operations and the changes in their cash flows for the periods specified; the financial statements of any other business or entity and its consolidated subsidiaries (if any) and the related notes thereto included or incorporated by reference in the Registration Statement, the Prospectus or any Permitted Free Writing Prospectus comply in all material respects with the applicable requirements of the Act or the Exchange Act, as applicable, and present fairly in all material respects the consolidated (if applicable) financial position of such entity or business, as the case may be, and its subsidiaries (if any) as of the dates indicated and the results of its or their, as the case may be, operations and the changes in its or their, as the case may be, cash flows for the periods specified; and all such financial statements have been prepared, in all material respects, in conformity with U.S. generally accepted accounting principles (“</w:t>
      </w:r>
      <w:r>
        <w:rPr>
          <w:rFonts w:ascii="Times New Roman" w:hAnsi="Times New Roman"/>
          <w:b/>
          <w:sz w:val="20"/>
        </w:rPr>
        <w:t>U.S. GAAP</w:t>
      </w:r>
      <w:r>
        <w:rPr>
          <w:rFonts w:ascii="Times New Roman" w:hAnsi="Times New Roman"/>
          <w:sz w:val="20"/>
        </w:rPr>
        <w:t xml:space="preserve">”) applied on a consistent basis throughout the periods covered thereby, except unaudited financial statements, which are subject to normal year-end adjustments that are not material in the aggregate and do not contain certain footnotes as permitted by the applicable rules of the Commission, and any supporting schedules to such financial statements included or incorporated by reference in the Registration Statement present fairly, in all material respects, the information required to be stated therein. Any pro forma financial statements and related notes included or incorporated by reference in the Registration Statement, the Prospectus or any Permitted Free Writing Prospectus comply in all material respects with the applicable requirements of the Act and the Exchange Act, as applicable,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Material Adverse Change.</w:t>
      </w:r>
      <w:r>
        <w:rPr>
          <w:rFonts w:ascii="Times New Roman" w:hAnsi="Times New Roman"/>
          <w:sz w:val="20"/>
        </w:rPr>
        <w:t xml:space="preserve"> Since the respective dates as of which information is given in the Registration Statement, the Prospectus and any Permitted Free Writing Prospectus, except as otherwise stated therein, there has not occurred any material adverse change, or any development that would reasonably be expected to result in a material adverse change, in the financial condition, earnings, business or operations of the Company and its subsidiaries, taken as a whole, from that set forth in the Prospectus. Subsequent to the respective dates as of which information is given in each of the Registration Statement, the Prospectus and any Permitted Free Writing Prospectus, (A) the Company and its subsidiaries have not incurred any liability or obligation, direct or contingent, nor entered into any transaction, in each case that is material to the Company and its subsidiaries, taken as a whole; (B) the Company has not purchased any of its outstanding capital stock other than from employees or other service providers in connection with such person’s termination of service from the Company or its subsidiaries pursuant to equity compensation plans or agreements described in the Registration Statement, the Prospectus and any Permitted Free Writing Prospectus or in exercise of the Company’s right of first refusal upon a proposed transfer, nor declared, paid or otherwise made any dividend or distribution of any kind on its capital stock other than ordinary and customary dividends; and (C) there has not been any material change in the capital stock (other than the exercise of equity awards or grants of equity awards or forfeiture of equity awards outstanding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respective dates as of which information is given in each of the Registration Statement, the Prospectus and any Permitted Free Writing Prospectus, in each case granted pursuant to the equity compensation plans described in the Registration Statement, the Prospectus and any Permitted Free Writing Prospectus), short-term debt or long-term debt (except for borrowings and the repayment of borrowings in the ordinary course of business) of the Company and its subsidiaries; except in each case as described in each of the Registration Statement, the Prospectus and any 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Organization and Good Standing of the Company.</w:t>
      </w:r>
      <w:r>
        <w:rPr>
          <w:rFonts w:ascii="Times New Roman" w:hAnsi="Times New Roman"/>
          <w:sz w:val="20"/>
        </w:rPr>
        <w:t xml:space="preserve"> The Company has been duly incorporated, is validly existing as a corporation in good standing under the laws of the State of Delaware, has the corporate power and authority to own or lease its property and to conduct its business as described in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have a material adverse effect on the Company and its subsidiaries, taken as a whole or on the performance by the Company of its obligations under this Agreement or any Terms Agreement (a “</w:t>
      </w:r>
      <w:r>
        <w:rPr>
          <w:rFonts w:ascii="Times New Roman" w:hAnsi="Times New Roman"/>
          <w:b/>
          <w:sz w:val="20"/>
        </w:rPr>
        <w:t>Material Adverse Effect</w:t>
      </w:r>
      <w:r>
        <w:rPr>
          <w:rFonts w:ascii="Times New Roman" w:hAnsi="Times New Roman"/>
          <w:sz w:val="20"/>
        </w:rPr>
        <w:t xml:space="preserve">”). The Company does not own or control, directly or indirectly, any corporation, association or other entity other than the subsidiaries listed in Exhibit 21 to the Company’s most recent Annual Report on Form 10-K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Organization and Good Standing of the Subsidiaries. </w:t>
      </w:r>
      <w:r>
        <w:rPr>
          <w:rFonts w:ascii="Times New Roman" w:hAnsi="Times New Roman"/>
          <w:sz w:val="20"/>
        </w:rPr>
        <w:t xml:space="preserve">Each subsidiary of the Company has been duly organized, is validly existing and in good standing under the laws of the jurisdiction of its organization, has the corporate or other organizational power and authority to own or lease its property and to conduct its business as described in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be reasonably likely to have a Material Adverse Effect. All of the issued shares of capital stock of each subsidiary of the Company have been duly and validly authorized and issued, are fully paid and non-assessable and are owned directly by the Company or a subsidiary of the Company, free and clear of all liens, encumbrances, equities or claims.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Authorized Capitalization.</w:t>
      </w:r>
      <w:r>
        <w:rPr>
          <w:rFonts w:ascii="Times New Roman" w:hAnsi="Times New Roman"/>
          <w:sz w:val="20"/>
        </w:rPr>
        <w:t xml:space="preserve"> The Company has an authorized capitalization as set forth in the Registration Statement, the Prospectus and any Permitted Free Writing Prospectus as of the date specified therein; except as described in or expressly contemplated by the Registration Statement, the Prospectus and any Permitted Free Writing Prospectus, there are no outstanding rights (including, without limitation, preemptive or similar rights), warrants or options to acquire, or instruments convertible into or exchangeable for, any shares of capital stock or other equity interests of the Company or any of its subsidiaries, nor any contracts, commitments, agreements, understandings or arrangements of any kind relating to the issuance of any capital stock or other equity interest of the Company or any such subsidiary, any such convertible or exchangeable securities or any such rights, warrants or options; and the capital stock of the Company and the Company’s charter and by-laws conform in all material respects to the descriptions thereof contained in the Registration Statement, the Prospectus and any Permitted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Distribution Agreement</w:t>
      </w:r>
      <w:r>
        <w:rPr>
          <w:rFonts w:ascii="Times New Roman" w:hAnsi="Times New Roman"/>
          <w:sz w:val="20"/>
        </w:rPr>
        <w:t xml:space="preserve">. This Agreement has been duly authorized, executed and delivered by the Company and any Terms Agreement will have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The Shares. </w:t>
      </w:r>
      <w:r>
        <w:rPr>
          <w:rFonts w:ascii="Times New Roman" w:hAnsi="Times New Roman"/>
          <w:sz w:val="20"/>
        </w:rPr>
        <w:t xml:space="preserve">The Shares to be issued and sold by the Company hereunder or under any Terms Agreement have been duly authorized by the Company and, when issued and delivered and paid for as provided herein or in any Terms Agreement, as the case may be, will be duly and validly issued, will be fully paid and nonassessable and will conform to the descriptions thereof in the Registration Statement, the Prospectus and any Permitted Free Writing Prospectus; and the issuance and sale of the Shares are not and will not be subject to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Authority.</w:t>
      </w:r>
      <w:r>
        <w:rPr>
          <w:rFonts w:ascii="Times New Roman" w:hAnsi="Times New Roman"/>
          <w:sz w:val="20"/>
        </w:rPr>
        <w:t xml:space="preserve"> The Company has full right, power and authority to execute and deliver this Agreement and any Terms Agreement and perform its obligations hereunder or thereunder, including the Company’s issuance, sale and delivery of the Shares as provided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Conforms.</w:t>
      </w:r>
      <w:r>
        <w:rPr>
          <w:rFonts w:ascii="Times New Roman" w:hAnsi="Times New Roman"/>
          <w:sz w:val="20"/>
        </w:rPr>
        <w:t xml:space="preserve"> This Agreement conforms and each Terms Agreement will conform as to legal matters in all material respects to the description thereof contained in the Registration Statement, the Prospectus and any 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certificate of incorporation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or any subsidiary, except, in the case of clauses (ii) and (iii) above, for any such default or violation that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No Conflicts. </w:t>
      </w:r>
      <w:r>
        <w:rPr>
          <w:rFonts w:ascii="Times New Roman" w:hAnsi="Times New Roman"/>
          <w:sz w:val="20"/>
        </w:rPr>
        <w:t xml:space="preserve">The execution and delivery by the Company of, and the performance by the Company of its obligations under, this Agreement and any Terms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as would not reasonably be likely to have a Material Adverse Effect or adversely affect the ability of the Company to perform its obligations under this Agreement or any Terms Agreement, and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consent, approval, authorization or order of, or qualification with, any governmental body or agency is required for the performance by the Company of its obligations under this Agreement, except such as may have been previously obtained or may be required by the Nasdaq Stock Market, the securities or Blue Sky laws of the various states or foreign jurisdictions or the rules and regulations of the Financial Industry Regulatory Authority (“</w:t>
      </w:r>
      <w:r>
        <w:rPr>
          <w:rFonts w:ascii="Times New Roman" w:hAnsi="Times New Roman"/>
          <w:b/>
          <w:sz w:val="20"/>
        </w:rPr>
        <w:t>FINRA</w:t>
      </w:r>
      <w:r>
        <w:rPr>
          <w:rFonts w:ascii="Times New Roman" w:hAnsi="Times New Roman"/>
          <w:sz w:val="20"/>
        </w:rPr>
        <w:t xml:space="preserve">”) in connection with the offer and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Legal Proceedings.</w:t>
      </w:r>
      <w:r>
        <w:rPr>
          <w:rFonts w:ascii="Times New Roman" w:hAnsi="Times New Roman"/>
          <w:sz w:val="20"/>
        </w:rPr>
        <w:t xml:space="preserve"> There are no legal or governmental proceedings pending or, to the knowledge of the Company, threatened to which the Company or any of its subsidiaries is a party or to which any of the properties of the Company or any of its subsidiaries is subject (i) other than (A) proceedings accurately described in all material respects in the Registration Statement, the Prospectus and any Permitted Free Writing Prospectus and (B) proceedings that would not have a Material Adverse Effect, or would not have a material effect on the power or ability of the Company to perform its obligations under this Agreement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Independent Accountants</w:t>
      </w:r>
      <w:r>
        <w:rPr>
          <w:rFonts w:ascii="Times New Roman" w:hAnsi="Times New Roman"/>
          <w:sz w:val="20"/>
        </w:rPr>
        <w:t>. PricewaterhouseCoopers LLP, who have certified certain financial statements of the Company and its consolidated subsidiaries, is an independent registered public accounting firm with respect to the Company and its subsidiaries within the applicable rules and regulations adopted by the Commission and the Public Company Accounting Oversight Board (United States) (“</w:t>
      </w:r>
      <w:r>
        <w:rPr>
          <w:rFonts w:ascii="Times New Roman" w:hAnsi="Times New Roman"/>
          <w:b/>
          <w:sz w:val="20"/>
        </w:rPr>
        <w:t>PCAOB</w:t>
      </w:r>
      <w:r>
        <w:rPr>
          <w:rFonts w:ascii="Times New Roman" w:hAnsi="Times New Roman"/>
          <w:sz w:val="20"/>
        </w:rPr>
        <w:t xml:space="preserve">”) and as required by the Act. Each other independent registered public accounting firm, if any, that has certified or reported on any other financial statements included or incorporated by reference in the Registration Statement, the Prospectus or any Permitted Free Writing Prospectus is an independent registered public accounting firm with respect to the Company and its subsidiaries or other appropriate entity, as applicable, within the applicable rules and regulations adopted by the Commission and the PCAOB and as required by the Act.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Title to Real and Personal Property</w:t>
      </w:r>
      <w:r>
        <w:rPr>
          <w:rFonts w:ascii="Times New Roman" w:hAnsi="Times New Roman"/>
          <w:sz w:val="20"/>
        </w:rPr>
        <w:t xml:space="preserve">. Neither the Company nor its subsidiaries owns any real property. The Company and its subsidiaries have good and marketable title to all personal property (other than intellectual property, which is addressed exclusively in Section 1(x)) owned by them which is material to the business of the Company and its subsidiaries, taken as a whole, in each case free and clear of all liens, encumbrances and defects except such as are described in the Registration Statement, the Prospectus and any Permitted Free Writing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to the knowledge of the Company, enforceable leases with such exceptions as are not material and do not materially interfere with the use made and proposed to be made of such property and buildings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Intellectual Property.</w:t>
      </w:r>
      <w:r>
        <w:rPr>
          <w:rFonts w:ascii="Times New Roman" w:hAnsi="Times New Roman"/>
          <w:sz w:val="20"/>
        </w:rPr>
        <w:t xml:space="preserve"> Except as would not reasonably be expected to have a Material Adverse Effect, to the Company’s knowledge, the Company and its subsidiaries own or possess or have the right to use, or can acquire on commercially reasonable terms, adequate rights to use all inventions, patents, trademarks, service marks, trade names, domain names, copyrights, licenses, technology, know-how (including trade secrets and other confidential information) and other unpatented and/or unpatentable intellectual property and proprietary or confidential information, systems or procedures (including all goodwill associated with the foregoing and all registrations and applications for registration of, the foregoing) (collectively, “</w:t>
      </w:r>
      <w:r>
        <w:rPr>
          <w:rFonts w:ascii="Times New Roman" w:hAnsi="Times New Roman"/>
          <w:b/>
          <w:sz w:val="20"/>
        </w:rPr>
        <w:t>Intellectual Property</w:t>
      </w:r>
      <w:r>
        <w:rPr>
          <w:rFonts w:ascii="Times New Roman" w:hAnsi="Times New Roman"/>
          <w:sz w:val="20"/>
        </w:rPr>
        <w:t>”) employed by them to conduct their respective businesses as currently conducted by them and as currently proposed to be conducted by them in the Registration Statement, the Prospectus and any Permitted Free Writing Prospectus (the “</w:t>
      </w:r>
      <w:r>
        <w:rPr>
          <w:rFonts w:ascii="Times New Roman" w:hAnsi="Times New Roman"/>
          <w:b/>
          <w:sz w:val="20"/>
        </w:rPr>
        <w:t>Company Intellectual Property</w:t>
      </w:r>
      <w:r>
        <w:rPr>
          <w:rFonts w:ascii="Times New Roman" w:hAnsi="Times New Roman"/>
          <w:sz w:val="20"/>
        </w:rPr>
        <w:t xml:space="preserve">”). Except as would not reasonably be expected to have a Material Adverse Effect, (i) to the knowledge of the Company, the conduct of each of the respective businesses of the Company and its subsidiaries has not infringed, misappropriated or otherwise violated any Intellectual Property of others; (ii) neither the Company nor any of its subsidiaries has received written notice that any of the Company Intellectual Property that is owned by a third party has been obtained or is being used by the Company or one of its subsidiaries in violation of a contractual obligation binding on the Company or one of its subsidiaries; and (iii) there is no pending or, to the Company’s knowledge, threatened action, suit, proceeding or claim (A) challenging the Company’s or any subsidiary of the Company’s rights in or to, or alleging the violation of any of the terms of, any of the Company Intellectual Property; (B) alleging that the Company or any of its subsidiaries has infringed, misappropriated or otherwise violated or conflicted with any Intellectual Property of any third party; or (C) challenging the validity, scope or enforceability of any Company Intellectual Property owned by or exclusively licensed to the Company or any of its subsidiaries. To the knowledge of the Company, except as would not reasonably be expected to have a Material Adverse Effect, no third party has infringed, misappropriated or otherwise violated or conflicted with any Company Intellectual Property owned by or exclusively licensed to the Company or any of its subsidiaries. To the knowledge of the Company, the Company Intellectual Property has not been adjudged by a court of competent jurisdiction to be invalid or unenforceable in whole or in part. To the knowledge of the Company, all Company Intellectual Property owned by the Company or its subsidiaries is owned solely by the Company or its subsidiaries and is owned free and clear of all liens, encumbrances, defects and other restrictions. The Company and its subsidiaries have at all times taken reasonable steps in accordance with normal industry practice to maintain the confidentiality of all Company Intellectual Property, the value of which to the Company or any of its subsidiaries is contingent upon maintaining the confidentiality thereof. To the knowledge of the Company, all founders, current and former employees, contractors, consultants and other parties involved in the development of Company Intellectual Property for the Company or any subsidiary of the Company have signed confidentiality and invention assignment agreements with the Company or such subsidiary of the Company, as applicable, pursuant to which the Company or subsidiary of the Company, as applicable, either (x) has obtained ownership of and is the exclusive owner of such Intellectual Property, or (y) has obtained a valid right to exploit such Intellectual Property, sufficient for the conduct of its business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Act to be described in each of the Registration Statement and the Prospectus and that is not so described in such documents and in any 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Investment Company Act</w:t>
      </w:r>
      <w:r>
        <w:rPr>
          <w:rFonts w:ascii="Times New Roman" w:hAnsi="Times New Roman"/>
          <w:sz w:val="20"/>
        </w:rPr>
        <w:t>. The Company is not and, after giving effect to the offering and sale of the Shares and the application of the net proceeds thereof as described in the Registration Statement, the Prospectus or any Permitted Free Writing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Taxes.</w:t>
      </w:r>
      <w:r>
        <w:rPr>
          <w:rFonts w:ascii="Times New Roman" w:hAnsi="Times New Roman"/>
          <w:sz w:val="20"/>
        </w:rPr>
        <w:t xml:space="preserve"> The Company and each of its subsidiaries have filed all federal, state, local and foreign tax returns required to be filed or have requested extensions thereof (except where the failure to file would not, individually or in the aggregate, be reasonably likely to have a Material Adverse Effect) and have paid all taxes required to be paid thereon (except for cases in which the failure to pay would not be reasonably likely to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Clinical Data and Regulatory Compliance</w:t>
      </w:r>
      <w:r>
        <w:rPr>
          <w:rFonts w:ascii="Times New Roman" w:hAnsi="Times New Roman"/>
          <w:sz w:val="20"/>
        </w:rPr>
        <w:t>. The Company and its subsidiaries have operated and currently are in compliance with all applicable rules, regulations and policies of the U.S. Food and Drug Administration and applicable foreign regulatory authorities (collectively, the “</w:t>
      </w:r>
      <w:r>
        <w:rPr>
          <w:rFonts w:ascii="Times New Roman" w:hAnsi="Times New Roman"/>
          <w:b/>
          <w:sz w:val="20"/>
        </w:rPr>
        <w:t>Regulatory Authorities</w:t>
      </w:r>
      <w:r>
        <w:rPr>
          <w:rFonts w:ascii="Times New Roman" w:hAnsi="Times New Roman"/>
          <w:sz w:val="20"/>
        </w:rPr>
        <w:t xml:space="preserve">”) in all material respects. The studies, tests and preclinical and clinical trials conducted by the Company or its subsidiaries and, to the knowledge of the Company, any studies, tests and preclinical and clinical trials conducted on behalf of the Company or in which the Company has participated, were, and if still pending are, being conducted in all material respects in accordance with all applicable rules and regulations of the Regulatory Authorities and current Good Clinical Practices and Good Laboratory Practices; the descriptions of the results of such trials and studies contained in the Registration Statement, the Prospectus and any Permitted Free Writing Prospectus are accurate and complete in all material respects and fairly present the data derived from such trials and studies; the Company has no knowledge of any other studies or trials not described in the Registration Statement, the Prospectus and any Permitted Free Writing Prospectus, the results of which are inconsistent with or call into question the results described or referred to in the Registration Statement, the Prospectus and any Permitted Free Writing Prospectus; neither the Company nor any of its subsidiaries have received any written notices, correspondence or other communications from any Regulatory Authority or any other governmental agency requiring or threatening the termination, material modification or suspension of any studies or trials that are described in the Registration Statement, the Prospectus and any Permitted Free Writing Prospectus or the results of which are referred to in the Registration Statement, the Prospectus and any Permitted Free Writing Prospectus, and, to the Company’s knowledge, there are no reasonable grounds for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Licenses and Permits.</w:t>
      </w:r>
      <w:r>
        <w:rPr>
          <w:rFonts w:ascii="Times New Roman" w:hAnsi="Times New Roman"/>
          <w:sz w:val="20"/>
        </w:rPr>
        <w:t xml:space="preserve"> The Company and its subsidiaries possess all certificates, authorizations and permits issued by the appropriate federal, state or foreign regulatory authorities necessary to conduct their respective businesses, including, without limitation, from the Regulatory Authorities, except where the failure to obtain such certificates, authorizations or permits would not, singly or in the aggregate, be reasonably likely to have a Material Adverse Effect,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except as described in the Registration Statement, the Prospectus and any 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Labor Disputes.</w:t>
      </w:r>
      <w:r>
        <w:rPr>
          <w:rFonts w:ascii="Times New Roman" w:hAnsi="Times New Roman"/>
          <w:sz w:val="20"/>
        </w:rPr>
        <w:t xml:space="preserve">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Certain Environmental Matters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be reasonably likely to have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Compliance with ERISA</w:t>
      </w:r>
      <w:r>
        <w:rPr>
          <w:rFonts w:ascii="Times New Roman" w:hAnsi="Times New Roman"/>
          <w:sz w:val="20"/>
        </w:rPr>
        <w:t>. (i)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Times New Roman" w:hAnsi="Times New Roman"/>
          <w:b/>
          <w:sz w:val="20"/>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xml:space="preserve">”)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Disclosure Controls</w:t>
      </w:r>
      <w:r>
        <w:rPr>
          <w:rFonts w:ascii="Times New Roman" w:hAnsi="Times New Roman"/>
          <w:sz w:val="20"/>
        </w:rPr>
        <w:t xml:space="preserve">.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Accounting Controls.</w:t>
      </w:r>
      <w:r>
        <w:rPr>
          <w:rFonts w:ascii="Times New Roman" w:hAnsi="Times New Roman"/>
          <w:sz w:val="20"/>
        </w:rPr>
        <w:t xml:space="preserve">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Insurance. </w:t>
      </w:r>
      <w:r>
        <w:rPr>
          <w:rFonts w:ascii="Times New Roman" w:hAnsi="Times New Roman"/>
          <w:sz w:val="20"/>
        </w:rPr>
        <w:t xml:space="preserve">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 xml:space="preserve">Cybersecurity; Data Protection. </w:t>
      </w:r>
      <w:r>
        <w:rPr>
          <w:rFonts w:ascii="Times New Roman" w:hAnsi="Times New Roman"/>
          <w:sz w:val="20"/>
        </w:rPr>
        <w:t>The Company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to the knowledge of the Company, are free and clear of all material bugs, errors, defects, Trojan horses, time bombs, malware and other corruptants. The Company and its subsidiaries have implemented and maintained commercially reasonable controls, policies, procedures, and safeguards designed to maintain and protect their material confidential information and personally identifiable information (“</w:t>
      </w:r>
      <w:r>
        <w:rPr>
          <w:rFonts w:ascii="Times New Roman" w:hAnsi="Times New Roman"/>
          <w:b/>
          <w:sz w:val="20"/>
        </w:rPr>
        <w:t>Personal Data</w:t>
      </w:r>
      <w:r>
        <w:rPr>
          <w:rFonts w:ascii="Times New Roman" w:hAnsi="Times New Roman"/>
          <w:sz w:val="20"/>
        </w:rPr>
        <w:t>”) and the integrity, continuous operation, redundancy and security of all IT Systems used in connection with their businesses. Without limiting the foregoing, the Company and its subsidiaries have used commercially reasonable efforts to establish and maintain, and have established, maintained, implemented and materially complied with, commercially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IT Systems or Personal Data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and, to the knowledge of the Company, there has been no such Breach. The Company and its subsidiaries have not been notified of and have no knowledge of any event or condition that would reasonably be expected to result in, any such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Privacy.</w:t>
      </w:r>
      <w:r>
        <w:rPr>
          <w:rFonts w:ascii="Times New Roman" w:hAnsi="Times New Roman"/>
          <w:sz w:val="20"/>
        </w:rPr>
        <w:t xml:space="preserve"> (i) The Company and its subsidiaries have complied, and are presently in compliance, in all material respects, with all internal and external privacy policies, contractual obligations, binding industry standards, applicable laws, statutes, judgments, orders, rules and binding regulations of any court or arbitrator or other governmental or regulatory authority regarding the collection, use, transfer, import, export, storage, protection, disposal and disclosure by the Company and its subsidiaries of Personal Data (“</w:t>
      </w:r>
      <w:r>
        <w:rPr>
          <w:rFonts w:ascii="Times New Roman" w:hAnsi="Times New Roman"/>
          <w:b/>
          <w:sz w:val="20"/>
        </w:rPr>
        <w:t>Data Security Obligations</w:t>
      </w:r>
      <w:r>
        <w:rPr>
          <w:rFonts w:ascii="Times New Roman" w:hAnsi="Times New Roman"/>
          <w:sz w:val="20"/>
        </w:rPr>
        <w:t xml:space="preserve">”); (ii) neither the Company nor any of its subsidiaries has received any written notification of or written complaint regarding, and are not aware of any other facts that, individually or in the aggregate, would reasonably indicate their material non-compliance with any Data Security Obligation; and (iii) there is no pending or, to the knowledge of the Company, threatened, action, suit or proceeding by or before any court or governmental agency, authority or body alleging non-compliance with any Data Security Obligation by the Company and its Subsidiaries. The Company and its subsidiaries have at all times taken commercially reasonable steps to protect Personal Data against loss and against unauthorized access, use, modification, disclosure or other misuse, except in each case to the extent that the failure to do so would not reasonably be expected to have a Material Adverse Effect on the Company and its subsidiaries, taken as a whole. To the knowledge of the Company, except as would not individually or in the aggregate have a Material Adverse Effect on the Company and its subsidiaries, taken as a whole, there has been no unauthorized access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No Unlawful Payments.</w:t>
      </w:r>
      <w:r>
        <w:rPr>
          <w:rFonts w:ascii="Times New Roman" w:hAnsi="Times New Roman"/>
          <w:sz w:val="20"/>
        </w:rPr>
        <w:t xml:space="preserve"> (i) None of the Company or its subsidiaries or controlled affiliates, or any director, officer or employee thereof, or, to the Company’s knowledge, any agent or representative of the Company or of any of its subsidiaries or controlled affiliates, has taken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sz w:val="20"/>
        </w:rPr>
        <w:t>Government Official</w:t>
      </w:r>
      <w:r>
        <w:rPr>
          <w:rFonts w:ascii="Times New Roman" w:hAnsi="Times New Roman"/>
          <w:sz w:val="20"/>
        </w:rPr>
        <w:t xml:space="preserve">”) in order to improperly influence official action in violation of, to the extent applicable to the Company or its subsidiaries, the U.S. Foreign Corrupt Practices Act of 1977, as amended, or any applicable law or regulation implementing the OECD Convention on Combating Bribery of Foreign Public Officials in International Business Transactions, or committed an offence under the Bribery Act of 2010 of the United Kingdom, or any other applicable anti-bribery or anti-corruption laws (collectively, the “Anti-Corruption Laws”); (ii)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the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Compliance with Anti-Money Laundering Laws</w:t>
      </w:r>
      <w:r>
        <w:rPr>
          <w:rFonts w:ascii="Times New Roman" w:hAnsi="Times New Roman"/>
          <w:sz w:val="20"/>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No Conflicts with Sanctions Laws. </w:t>
      </w:r>
      <w:r>
        <w:rPr>
          <w:rFonts w:ascii="Times New Roman" w:hAnsi="Times New Roman"/>
          <w:sz w:val="20"/>
        </w:rPr>
        <w:t>(i)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hAnsi="Times New Roman"/>
          <w:b/>
          <w:sz w:val="20"/>
        </w:rPr>
        <w:t>Person</w:t>
      </w:r>
      <w:r>
        <w:rPr>
          <w:rFonts w:ascii="Times New Roman" w:hAnsi="Times New Roman"/>
          <w:sz w:val="20"/>
        </w:rPr>
        <w:t xml:space="preserve">”) that is, or is owned or controlled by one or more Persons that are: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Treasury’s Office of Foreign Assets Control, the United Nations Security Council, the European Union, the United Kingdom government (including the Foreign, Commonwealth &amp; Development Office), or other relevant sanctions authority (collectively, “</w:t>
      </w:r>
      <w:r>
        <w:rPr>
          <w:rFonts w:ascii="Times New Roman" w:hAnsi="Times New Roman"/>
          <w:b/>
          <w:sz w:val="20"/>
        </w:rPr>
        <w:t>Sanctions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the Crimea Region of Ukraine, the so-called Donetsk People’s Republic, the so-called Luhansk People’s Republic, Cuba, Iran and North Korea).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agent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Since April 24, 2019, the Company and its subsidiaries have not knowingly engaged in and are not now knowingly engaged in, any dealings or transactions with any Person, or in any country or territory, that at the time of the dealing or transaction is or was the subject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No Restrictions on Subsidiaries</w:t>
      </w:r>
      <w:r>
        <w:rPr>
          <w:rFonts w:ascii="Times New Roman" w:hAnsi="Times New Roman"/>
          <w:sz w:val="20"/>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or any Terms Agreement) that would give rise to a valid claim against any of them or any Agent for a brokerage commission, finder’s fee or like payment in connection with the offering and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Registration Rights</w:t>
      </w:r>
      <w:r>
        <w:rPr>
          <w:rFonts w:ascii="Times New Roman" w:hAnsi="Times New Roman"/>
          <w:sz w:val="20"/>
        </w:rPr>
        <w:t xml:space="preserve">.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except as otherwise have been validly waived or complied with in connection with the issuance and sale of the Shares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Stabilization.</w:t>
      </w:r>
      <w:r>
        <w:rPr>
          <w:rFonts w:ascii="Times New Roman" w:hAnsi="Times New Roman"/>
          <w:sz w:val="20"/>
        </w:rPr>
        <w:t xml:space="preserve"> Neither the Company nor any of its subsidiaries or affiliates has taken, directly or indirectly, any action designed to or that could reasonably be expected to cause or result in any stabilization or manipulation of the price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the Prospectus and any Permitted Free Writing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Act and Section 21E of the Exchange Act) included or incorporated by reference in any of the Registration Statement, the Prospectus or any Permitted Free Writing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Statistical and Market Data.</w:t>
      </w:r>
      <w:r>
        <w:rPr>
          <w:rFonts w:ascii="Times New Roman" w:hAnsi="Times New Roman"/>
          <w:sz w:val="20"/>
        </w:rPr>
        <w:t xml:space="preserve"> Any statistical and market-related data included in the Registration Statement, the Prospectus or any Permitted Free Writing Prospectus are based on or derived from sources that the Company believes, after reasonable inquiry, to be reliable and accurate in all material respects and, to the extent required, the Company has obtained the written consent to the use of such data from such sources.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Sarbanes-Oxley Act</w:t>
      </w:r>
      <w:r>
        <w:rPr>
          <w:rFonts w:ascii="Times New Roman" w:hAnsi="Times New Roman"/>
          <w:sz w:val="20"/>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w:t>
      </w:r>
      <w:r>
        <w:rPr>
          <w:rFonts w:ascii="Times New Roman" w:hAnsi="Times New Roman"/>
          <w:b/>
          <w:sz w:val="20"/>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Status under the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Act) of the Shares and at the date hereof, the Company was not and is not an “ineligible issuer,” as defined in Rule 405 under the Act.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Ratings</w:t>
      </w:r>
      <w:r>
        <w:rPr>
          <w:rFonts w:ascii="Times New Roman" w:hAnsi="Times New Roman"/>
          <w:sz w:val="20"/>
        </w:rPr>
        <w:t xml:space="preserve">. There are no debt securities, convertible securities or preferred stock issued or guaranteed by the Company or any of its subsidiaries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Outbound Investment Rule</w:t>
      </w:r>
      <w:r>
        <w:rPr>
          <w:rFonts w:ascii="Times New Roman" w:hAnsi="Times New Roman"/>
          <w:sz w:val="20"/>
        </w:rPr>
        <w:t xml:space="preserve">. Neither the Company nor any of its subsidiaries is a “covered foreign person,” as that term is defined in 31 C.F.R. Section 850.209. Neither the Company nor any of its subsidiaries currently engage, or have plans to engage, directly or indirectly, in a “covered activity,” as that term is defined in 31 C.F.R. Section 850.208.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Certain Covenants of the Company.</w:t>
      </w:r>
      <w:r>
        <w:rPr>
          <w:rFonts w:ascii="Times New Roman" w:hAnsi="Times New Roman"/>
          <w:sz w:val="20"/>
        </w:rPr>
        <w:t xml:space="preserve"> The Company hereby agrees with the Agent: </w:t>
      </w:r>
    </w:p>
    <w:p>
      <w:pPr>
        <w:pStyle w:val="TextBody"/>
        <w:bidi w:val="0"/>
        <w:spacing w:before="120" w:after="0"/>
        <w:jc w:val="left"/>
        <w:rPr>
          <w:rFonts w:ascii="Times New Roman" w:hAnsi="Times New Roman"/>
          <w:sz w:val="20"/>
        </w:rPr>
      </w:pPr>
      <w:r>
        <w:rPr>
          <w:rFonts w:ascii="Times New Roman" w:hAnsi="Times New Roman"/>
          <w:sz w:val="20"/>
        </w:rPr>
        <w:t xml:space="preserve">(a) For so long as the delivery of a prospectus is required (whether physically or through compliance with Rule 172 under the Act or any similar rule) in connection with the offering or sale of Shares, before using or filing any Permitted Free Writing Prospectus and before using or filing any amendment or supplement to the Registration Statement, the Prospectus or any Permitted Free Writing Prospectus (in each case, other than due to the filing of an Incorporated Document), to furnish to the Agent a copy of each such proposed Permitted Free Writing Prospectus, amendment or supplement within a reasonable period of time before filing with the Commission or using any such Permitted Free Writing Prospectus, amendment or supplement and the Company will not use or file any such Permitted Free Writing Prospectus or any such proposed amendment or supplement to which the Agent reasonably objects, unless the Company’s legal counsel has advised the Company that use or filing of such document is required by law; and the Company will not use or file any such Permitted Free Writing Prospectus or proposed, amendment or supplement to which the Agent reasonably objects unless the Company’s legal counsel has advised the Company that use or filing of such document is required by law. </w:t>
      </w:r>
    </w:p>
    <w:p>
      <w:pPr>
        <w:pStyle w:val="TextBody"/>
        <w:bidi w:val="0"/>
        <w:spacing w:before="240" w:after="0"/>
        <w:jc w:val="left"/>
        <w:rPr>
          <w:rFonts w:ascii="Times New Roman" w:hAnsi="Times New Roman"/>
          <w:sz w:val="20"/>
        </w:rPr>
      </w:pPr>
      <w:r>
        <w:rPr>
          <w:rFonts w:ascii="Times New Roman" w:hAnsi="Times New Roman"/>
          <w:sz w:val="20"/>
        </w:rPr>
        <w:t>(b) To file the Prospectus, each Prospectus Supplement and any other amendments or supplements to the Prospectus pursuant to, and within the time period required by, Rule 424(b) under the Act (without reference to Rule 424(b)(8)) and to file any Permitted Free Writing Prospectus to the extent required by Rule 433 under the Act and to provide copies of the Prospectus, each Prospectus Supplement, any other amendments or supplements to the Prospectus and each Permitted Free Writing Prospectus (to the extent not previously delivered or filed on the Commission’s Electronic Data Gathering, Analysis and Retrieval system or any successor system thereto (collectively, “</w:t>
      </w:r>
      <w:r>
        <w:rPr>
          <w:rFonts w:ascii="Times New Roman" w:hAnsi="Times New Roman"/>
          <w:b/>
          <w:sz w:val="20"/>
        </w:rPr>
        <w:t>EDGAR</w:t>
      </w:r>
      <w:r>
        <w:rPr>
          <w:rFonts w:ascii="Times New Roman" w:hAnsi="Times New Roman"/>
          <w:sz w:val="20"/>
        </w:rPr>
        <w:t xml:space="preserve">”)) to the Agent via e-mail in “.pdf” format on such filing date to an e-mail account designated by the Agent and, at the Agent’s request, to also furnish copies of the Prospectus, each Prospectus Supplement, any other amendments or supplements to the Prospectus and each Permitted Free Writing Prospectus to each exchange or market on which sales were effected as may be required by the rules or regulations of such exchange or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file timely all reports and any definitive proxy or information statements required to be filed by the Company with the Commission pursuant to Sections 13(a), 13(c), 14 or 15(d) of the Exchange Act for so long as the delivery of a prospectus is required (whether physically or through compliance with Rule 172 under the Act or any similar rule) in connection with the offering or sale of the Shares, and during such same period to advise the Agent, promptly after the Company receives notice thereof, (i) of the time when any amendment to the Registration Statement has been filed or has become effective or any supplement to the Prospectus or any Permitted Free Writing Prospectus or any amended Prospectus has been filed with the Commission; (ii) of the issuance by the Commission of any stop order or any order preventing or suspending the use of any prospectus relating to the Shares or the initiation or threatening of any proceeding for that purpose, pursuant to Section 8A of the Act; (iii) of any objection by the Commission to the use of Form S-3ASR by the Company pursuant to Rule 401(g)(2) under the Act; (iv) of the suspension of the qualification of the Shares for offering or sale in any jurisdiction or of the initiation or threatening of any proceeding for any such purpose; (v) of any request by the Commission for the amendment of the Registration Statement or the amendment or supplementation of the Prospectus (in each case including any documents incorporated by reference therein) or for additional information; (vi) of the occurrence of any event as a result of which the Prospectus or any Permitted Free Writing Prospectus as then amended or supplemented includes any untrue statement of a material fact or omits to state a material fact required to be stated therein or necessary in order to make the statements therein, in the light of the circumstances existing when the Prospectus or any such Permitted Free Writing Prospectus is delivered to a purchaser, not misleading; and (vii) of the receipt by the Company of any notice of objection of the Commission to the use of the Registration Statement or any post-effective amendment thereto.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the issuance of any such stop order or of any such order preventing or suspending the use of any such prospectus or suspending any such qualification, or of any notice of objection pursuant to Rule 401(g)(2) under the Act, to use promptly its commercially reasonable efforts to obtain its withdrawal. </w:t>
      </w:r>
    </w:p>
    <w:p>
      <w:pPr>
        <w:pStyle w:val="TextBody"/>
        <w:bidi w:val="0"/>
        <w:spacing w:before="240" w:after="0"/>
        <w:jc w:val="left"/>
        <w:rPr>
          <w:rFonts w:ascii="Times New Roman" w:hAnsi="Times New Roman"/>
          <w:sz w:val="20"/>
        </w:rPr>
      </w:pPr>
      <w:r>
        <w:rPr>
          <w:rFonts w:ascii="Times New Roman" w:hAnsi="Times New Roman"/>
          <w:sz w:val="20"/>
        </w:rPr>
        <w:t xml:space="preserve">(e) To furnish such information as may be required and otherwise cooperate in qualifying the Shares for offering and sale under the securities or blue sky laws of such states or other jurisdictions as the Agent may reasonably designate and to maintain such qualifications in effect so long as required for the distribution of the Shares; provided that the Company shall not be required to qualify as a foreign corporation, become a dealer of securities, or become subject to taxation in, or to consent to the service of process under the laws of, any such state or other jurisdictions (except service of process with respect to the offering and sale of the Shares); and to promptly advise the Agent of the receipt by the Company of any notification with respect to the suspension of the qualification of the Shares for sale in any jurisdiction or the initiation of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(f) To make available to the Agent at its offices in New York City, without charge, as soon as reasonably practicable after the Registration Statement becomes effective, and thereafter from time to time to furnish to the Agent, as many copies of the Prospectus and the Prospectus Supplement (or of the Prospectus or Prospectus Supplement as amended or supplemented if the Company shall have made any amendments or supplements thereto and documents incorporated by reference therein after the effective date of the Registration Statement) and each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Free Writing Prospectus as the Agent may reasonably request for so long as the delivery of a prospectus is required (whether physically or through compliance with Rule 172 under the Act or any similar rule); provided, however, that the Company shall have no obligation to provide the Agent with any document filed on EDGAR; and for so long as this Agreement is in effect, the Company will prepare and file promptly such amendment or amendments to the Registration Statement, the Prospectus or any Permitted Free Writing Prospectus as may be necessary to comply with the requirements of Section 10(a)(3) of the Act. </w:t>
      </w:r>
    </w:p>
    <w:p>
      <w:pPr>
        <w:pStyle w:val="TextBody"/>
        <w:bidi w:val="0"/>
        <w:spacing w:before="240" w:after="0"/>
        <w:jc w:val="left"/>
        <w:rPr>
          <w:rFonts w:ascii="Times New Roman" w:hAnsi="Times New Roman"/>
          <w:sz w:val="20"/>
        </w:rPr>
      </w:pPr>
      <w:r>
        <w:rPr>
          <w:rFonts w:ascii="Times New Roman" w:hAnsi="Times New Roman"/>
          <w:sz w:val="20"/>
        </w:rPr>
        <w:t xml:space="preserve">(g) To furnish or make available to the Agent during the Term (i) copies of any reports or other communications which the Company shall send to its stockholders or shall from time to time publish or publicly disseminate and (ii) copies of all annual, quarterly and current reports filed with the Commission on Forms 10-K, 10-Q and 8-K, or such other similar form as may be designated by the Commission, and to furnish to the Agent from time to time during the Term such other information as the Agent may reasonably request regarding the Company or its subsidiaries, in each case as soon as such reports, communications, documents or information becomes available or promptly upon the request of the Agent, as applicable; provided, however, that the Company shall have no obligation to provide the Agent with any document filed on EDGAR or included on the Company’s Internet website. </w:t>
      </w:r>
    </w:p>
    <w:p>
      <w:pPr>
        <w:pStyle w:val="TextBody"/>
        <w:bidi w:val="0"/>
        <w:spacing w:before="240" w:after="0"/>
        <w:jc w:val="left"/>
        <w:rPr>
          <w:rFonts w:ascii="Times New Roman" w:hAnsi="Times New Roman"/>
          <w:sz w:val="20"/>
        </w:rPr>
      </w:pPr>
      <w:r>
        <w:rPr>
          <w:rFonts w:ascii="Times New Roman" w:hAnsi="Times New Roman"/>
          <w:sz w:val="20"/>
        </w:rPr>
        <w:t xml:space="preserve">(h) If, at any time during the Term, any event shall occur or condition shall exist as a result of which it is necessary in the reasonable opinion of counsel for the Agent or counsel for the Company, to further amend or supplement the Prospectus or any Permitted Free Writing Prospectus as then amended or supplemented in order that the Prospectus or any such Permitted Free Writing Prospectus will not include an untrue statement of a material fact or omit to state any material fact required to be stated therein or necessary in order to make the statements therein not misleading, in light of the circumstances existing at the time the Prospectus or any such Permitted Free Writing Prospectus is delivered to a purchaser, or if it shall be necessary, in the reasonable opinion of either such counsel, to amend or supplement the Registration Statement, the Prospectus or any Permitted Free Writing Prospectus in order to comply with the requirements of the Act, in the case of such a determination by counsel to the Company, immediate notice shall be given, and confirmed in writing, to the Agent to cease the solicitation of offers to purchase the Shares in the Agent’s capacity as agent, and, in either case, the Company will, subject to Section 4(a) above, promptly prepare and file with the Commission such amendment or supplement, whether by filing documents pursuant to the Act, the Exchange Act or otherwise, as may be necessary to correct such untrue statement or omission or to make the Registration Statement, the Prospectus or any such Permitted Free Writing Prospectus comply with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(i) To generally make available to its security holders as soon as reasonably practicable, but not later than 16 months after the first day of each fiscal quarter referred to below, an earnings statement (in form complying with the provisions of Section 11(a) under the Act and Rule 158 of the Commission promulgated thereunder) covering each twelve-month period beginning, in each case, not later than the first day of the Company’s fiscal quarter next following each “effective date” (as defined in such Rule 158) of the Registration Statement with respect to each sale of Shares; provided, that the Company will be deemed to have made available such earnings statement to its security holders to the extent it is filed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To apply the net proceeds from the sale of the Shares in the manner described in the Prospectus Supplement under the caption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(k) Not to, and to cause its subsidiaries not to, take, directly or indirectly, any action designed to cause or result in, or that constitutes or might reasonably be expected to constitute, the stabilization or manipulation of the price of any security of the Company to facilitate the sale or resale of the Shares; </w:t>
      </w:r>
      <w:r>
        <w:rPr>
          <w:rFonts w:ascii="Times New Roman" w:hAnsi="Times New Roman"/>
          <w:i/>
          <w:sz w:val="20"/>
        </w:rPr>
        <w:t>provided</w:t>
      </w:r>
      <w:r>
        <w:rPr>
          <w:rFonts w:ascii="Times New Roman" w:hAnsi="Times New Roman"/>
          <w:sz w:val="20"/>
        </w:rPr>
        <w:t xml:space="preserve"> that nothing herein shall prevent the Company from filing or submitting reports under the Exchange Act or issuing press releases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otherwise agreed between the Company and the Agent, to pay all costs, expenses, fees and taxes in connection with (i) the preparation and filing of the Registration Statement, the Prospectus, any Permitted Free Writing Prospectus, and any amendments or supplements thereto, and the printing and furnishing of copies of each thereof to the Agent and to dealers (including costs of mailing and shipment), (ii) the registration, issue and delivery of the Shares, (iii) the qualification of the Shares for offering and sale under the securities or blue sky laws of such states or other jurisdictions as the Agent may reasonably designate as aforesaid (including filing fees and the reasonable legal fees and disbursements of counsel to the Agent in connection therewith) and the printing and furnishing of copies of any blue sky surveys to the Agent, (iv) the listing of the Shares on the Exchange and any registration thereof under the Exchange Act, (v) any filing for review, and any review, of the public offering of the Shares by FINRA (including filing fees and the reasonable legal fees and disbursements of counsel to the Agent in connection therewith), (vi) the fees and disbursements of counsel to the Company and of the Company’s independent registered public accounting firm, (vii) the performance of the Company’s other obligations hereunder and under any Terms Agreement and (viii) the documented out-of-pocket expenses of the Agent, including the reasonable and documented fees and disbursements of counsel to the Agent in connection with this Agreement and ongoing services in connection with the transactions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(m) With respect to the offering(s) contemplated by this Agreement or any Terms Agreement, the Company will not offer shares of Common Stock or any securities convertible into or exchangeable or exercisable for shares of the Common Stock in a manner in violation of the Act or the Exchange Act; and the Company will not distribute any offering material in connection with the offer and sale of the Shares, other than the Registration Statement, the Prospectus or any Permitted Free Writing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(n) Unless the Company has given written notice to the Agent that the Company has suspended activity under this Agreement and there are no pending Agency Transactions or Principal Transactions, the Company will not, without (A) giving the Agent at least three Exchange Business Days’ prior written notice specifying the nature of the proposed sale and the date of such proposed sale and (B) the Agent suspending activity under this program for such period of time as requested by the Company or deemed appropriate by the Agent in light of the proposed sale, (i) offer, pledge, sell, contract to sell, sell any option or contract to purchase, purchase any option or contract to sell, grant any option, right or warrant to purchase, lend, or otherwise transfer or dispose of, directly or indirectly, any shares of Common Stock or other equity securities of the Company or any securities convertible into or exercisable, redeemable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exchangeable for Common Stock or other equity securities of the Company, or submit to, or file with, the Commission any registration statement under the Act with respect to any of the foregoing (other than a registration statement on Form S-8 or post-effective amendment to the Registration Statement), or publicly announce the intention to undertake any of the foregoing, or (ii) enter into any swap or other agreement that transfers, in whole or in part, any of the economic consequences of ownership of Common Stock or other equity securities of the Company, whether any such transaction described in clause (i) or (ii) above is to be settled by delivery of shares of Common Stock or other securities, in cash or otherwise. The foregoing sentence shall not apply to (A) Shares offered and sold under this Agreement or any Terms Agreement or (B) securities issued pursuant to any of the Company’s equity incentive plans or employee stock purchase plans described in the Registration Statement and the Prospectus or upon the exercise of options granted thereunder. Any lock-up provisions relating to a Principal Transaction shall be set forth in the applicable 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Company will, pursuant to reasonable procedures developed in good faith, retain copies of each Permitted Free Writing Prospectus that is not filed with the Commission in accordance with Rule 433 under the Act. </w:t>
      </w:r>
    </w:p>
    <w:p>
      <w:pPr>
        <w:pStyle w:val="TextBody"/>
        <w:bidi w:val="0"/>
        <w:spacing w:before="240" w:after="0"/>
        <w:jc w:val="left"/>
        <w:rPr>
          <w:rFonts w:ascii="Times New Roman" w:hAnsi="Times New Roman"/>
          <w:sz w:val="20"/>
        </w:rPr>
      </w:pPr>
      <w:r>
        <w:rPr>
          <w:rFonts w:ascii="Times New Roman" w:hAnsi="Times New Roman"/>
          <w:sz w:val="20"/>
        </w:rPr>
        <w:t xml:space="preserve">(p) The Company will use commercially reasonable efforts to cause the Shares to be listed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(q) The Company consents to the Agent trading in the Common Stock for the Agent’s own account and for the account of its clients at the same time as sales of the Shares occur pursuant to this Agreement or any Terms Agreement. </w:t>
      </w:r>
    </w:p>
    <w:p>
      <w:pPr>
        <w:pStyle w:val="TextBody"/>
        <w:bidi w:val="0"/>
        <w:spacing w:before="240" w:after="0"/>
        <w:jc w:val="left"/>
        <w:rPr>
          <w:rFonts w:ascii="Times New Roman" w:hAnsi="Times New Roman"/>
          <w:sz w:val="20"/>
        </w:rPr>
      </w:pPr>
      <w:r>
        <w:rPr>
          <w:rFonts w:ascii="Times New Roman" w:hAnsi="Times New Roman"/>
          <w:sz w:val="20"/>
        </w:rPr>
        <w:t>(r) If immediately prior to the third anniversary (the “</w:t>
      </w:r>
      <w:r>
        <w:rPr>
          <w:rFonts w:ascii="Times New Roman" w:hAnsi="Times New Roman"/>
          <w:b/>
          <w:sz w:val="20"/>
        </w:rPr>
        <w:t>Renewal Deadline</w:t>
      </w:r>
      <w:r>
        <w:rPr>
          <w:rFonts w:ascii="Times New Roman" w:hAnsi="Times New Roman"/>
          <w:sz w:val="20"/>
        </w:rPr>
        <w:t xml:space="preserve">”) of the initial effective date of the Registration Statement, the aggregate Gross Sales Price of Shares sold by the Company is less than the Maximum Amount and this Agreement has not expired or been terminated, the Company will, within 30 days of the Renewal Deadline, file, if it has not already done so and is eligible to do so, a new automatic shelf registration statement relating to the Shares, in a form satisfactory to the Agent. If the Company is no longer eligible to file an automatic shelf registration statement, the Company will, prior to the Renewal Deadline, if it has not already done so, file a new shelf registration statement relating to the Shares, in a form satisfactory to the Agent, and will use its best efforts to cause such registration statement to be declared effective within 90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Execution of Agreement</w:t>
      </w:r>
      <w:r>
        <w:rPr>
          <w:rFonts w:ascii="Times New Roman" w:hAnsi="Times New Roman"/>
          <w:sz w:val="20"/>
        </w:rPr>
        <w:t xml:space="preserve">. The Agent’s obligations under this Agreement shall be subject to the satisfaction of the following conditions in connection with and on the date of the execution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delivered to the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signed by two officers of the Company (one of whom shall be the Chief Financial Officer or other senior financial officer) certifying as to the matters set forth in Exhibit B 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and, if not covered in such opinion, a negative assurance letter of Cooley LLP, counsel for the Company, addressed to the Agent and dated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of Knobbe Martens Olson &amp; Bear, LLP, outside intellectual property counsel for the Company, addressed to the Agent and dated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“comfort” letter from PricewaterhouseCoopers LLP, addressed to the Agent and dated the date of this Agreement, addressing such matters as the Agent may reasonably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the Agent and its counsel that the Shares have been approved for listing on the Exchange, subject only to notice of issuance on or before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duly adopted by the Company’s board of directors, and certified by an officer of the Company, authorizing the Company’s execution of this Agreement and the consummation by the Company of the transactions contemplated hereby, including the issuance and sale of the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the Agent shall reasonably request;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Agent shall have received a letter or letters, which shall include legal opinions and negative assurance statements, of Davis Polk &amp; Wardwell LLP, counsel to the Agent, addressed to the Agent and dated the date of this Agreement, addressing such matters as the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Additional Covenants of the Company</w:t>
      </w:r>
      <w:r>
        <w:rPr>
          <w:rFonts w:ascii="Times New Roman" w:hAnsi="Times New Roman"/>
          <w:sz w:val="20"/>
        </w:rPr>
        <w:t xml:space="preserve">. The Company further covenants and agrees with the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Transaction Proposal made by the Company that is accepted by the Agent by means of a Transaction Acceptance and each execution and delivery by the Company of a Terms Agreement shall be deemed to be (i) an affirmation that the representations, warranties and agreements of the Company herein contained and contained in any certificate delivered to the Agent pursuant hereto are true and correct at such Time of Acceptance or the date of such Terms Agreement, as the case may be,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the Prospectus or any Permitted Free Writing Prospectus as amended and supplemented to the time of such Transaction Acceptance or Terms Agreement,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time that (i) the Registration Statement, the Prospectus or any Permitted Free Writing Prospectus shall be amended or supplemented (including, except as noted in the proviso at the end of this Section 6(b), by the filing of any Incorporated Document), (ii) there is a Principal Settlement Date pursuant to a Terms Agreement, or (iii) the Agent shall reasonably request (each date referred to clauses (i), (ii) and (iii) above, a “</w:t>
      </w:r>
      <w:r>
        <w:rPr>
          <w:rFonts w:ascii="Times New Roman" w:hAnsi="Times New Roman"/>
          <w:b/>
          <w:sz w:val="20"/>
        </w:rPr>
        <w:t>Bring-Down Delivery Date</w:t>
      </w:r>
      <w:r>
        <w:rPr>
          <w:rFonts w:ascii="Times New Roman" w:hAnsi="Times New Roman"/>
          <w:sz w:val="20"/>
        </w:rPr>
        <w:t xml:space="preserve">”), the Company shall, unless the Agent agrees otherwise, furnish or cause to be furnished to the Agent a certificate, dated as of such Bring-Down Delivery Date and delivered within one Exchange Business Day after the applicable Bring-Down Delivery Date or, in the case of a Bring-Down Delivery Date resulting from a Principal Settlement Date, delivered on such Principal Settlement Date, of the same tenor as the certificate referred to in Sections 5(a)(i) hereof, modified as necessary to relate to the Registration Statement, the Prospectus or any Permitted Free Writing Prospectus as amended and supplemented to the time of delivery of such certificate, or, in lieu of such certificate, a certificate to the effect that the statements contained in the certificate referred to in Sections 5(a)(i) furnished to Agent is true and correct as of such Bring-Down Delivery Date as though made at and as of such date (except that such statements shall be deemed to relate to the Registration Statement, the Prospectus or any Permitted Free Writing Prospectus as amended and supplemented to the time of delivery of such certificate);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filing of a Current Report on Form 8-K will not constitute a Bring-Down Delivery Date under clause (i) above unless either (A) (x) such Current Report on Form 8-K is filed at any time during which either a Transaction Acceptance is binding and the Company has not suspended the use thereof (and prior to the settlement of the Shares specified therein) or a prospectus relating to the Shares is required to be delivered under the Act (whether physically or through compliance with Rule 172 under the Act or any similar rule) or such Current Report on Form 8-K is filed at any time from and including the date of a Terms Agreement through and including the related Settlement Date and (y) the Agent has reasonably requested that such date be deemed to be a Bring-Down Delivery Date based upon the event or events reported in such Current Report on Form 8-K or (B) such Current Report on Form 8-K contains capsule financial information, historical or pro forma financial statements, supporting schedules or other financial data, including any Current Report on Form 8-K or part thereof under Item 2.02 of Regulation S-K of the Commission that is considered “filed” under the Exchange Act; and </w:t>
      </w:r>
      <w:r>
        <w:rPr>
          <w:rFonts w:ascii="Times New Roman" w:hAnsi="Times New Roman"/>
          <w:i/>
          <w:sz w:val="20"/>
        </w:rPr>
        <w:t>provided, further,</w:t>
      </w:r>
      <w:r>
        <w:rPr>
          <w:rFonts w:ascii="Times New Roman" w:hAnsi="Times New Roman"/>
          <w:sz w:val="20"/>
        </w:rPr>
        <w:t xml:space="preserve"> that an amendment or supplement to the Registration Statement or the Prospectus relating to the offering of other securities pursuant to the Registration Statement will not constitute a Bring-Down Delivery Date. </w:t>
      </w:r>
    </w:p>
    <w:p>
      <w:pPr>
        <w:pStyle w:val="TextBody"/>
        <w:bidi w:val="0"/>
        <w:spacing w:before="240" w:after="0"/>
        <w:jc w:val="left"/>
        <w:rPr>
          <w:rFonts w:ascii="Times New Roman" w:hAnsi="Times New Roman"/>
          <w:sz w:val="20"/>
        </w:rPr>
      </w:pPr>
      <w:r>
        <w:rPr>
          <w:rFonts w:ascii="Times New Roman" w:hAnsi="Times New Roman"/>
          <w:sz w:val="20"/>
        </w:rPr>
        <w:t xml:space="preserve">(c) Each Bring-Down Delivery Date, the Company shall, unless the Agent agrees otherwise, cause to be furnished to Agent (A) the written opinion and, if not included in such opinion, negative assurance letter of Cooley LLP, counsel to the Company, the written opinion of Knobbe Martens Olson &amp; Bear, LLP, outside intellectual property counsel for the Company and the opinion and, if not included in such opinion, negative assurance letter of Davis Polk &amp; Wardwell LLP, counsel to the Agents, each dated as of the applicable Bring-Down Delivery Date and delivered within one Exchange Business Day after the applicable Bring-Down Delivery Date or, in the case of a Bring-Down Delivery Date resulting from a Principal Settlement Date, dated and delivered on such Principal Settlement Date, of the same tenor as the opinions and letters referred to in Section 5(a)(ii), Section 5(a)(iii) or Section 5(b) hereof, as applicable, but modified as necessary to relate to the Registration Statement, the Prospectus or any Permitted Free Writing Prospectus as amended and supplemented to the time of delivery of such opinions and letters, or, in lieu of such opinions and letters, each such counsel shall furnish the Agent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letter substantially to the effect that the Agent may rely on the opinion and letter of such counsel referred to in Section 5(a)(ii), Section 5(a)(iii) or Section 5(b), as applicable, furnished to the Agent, to the same extent as though they were dated the date of such letter authorizing reliance (except that statements in such last opinion and letter of such counsel shall be deemed to relate to the Registration Statement, the Prospectus or any Permitted Free Writing Prospectus as amended and supplemented to the time of delivery of such letters authorizing reliance). </w:t>
      </w:r>
    </w:p>
    <w:p>
      <w:pPr>
        <w:pStyle w:val="TextBody"/>
        <w:bidi w:val="0"/>
        <w:spacing w:before="240" w:after="0"/>
        <w:jc w:val="left"/>
        <w:rPr>
          <w:rFonts w:ascii="Times New Roman" w:hAnsi="Times New Roman"/>
          <w:sz w:val="20"/>
        </w:rPr>
      </w:pPr>
      <w:r>
        <w:rPr>
          <w:rFonts w:ascii="Times New Roman" w:hAnsi="Times New Roman"/>
          <w:sz w:val="20"/>
        </w:rPr>
        <w:t xml:space="preserve">(d) Each Bring-Down Delivery Date, the Company shall, unless the Agent agrees otherwise, cause PricewaterhouseCoopers LLP to furnish to the Agent a “comfort” letter, dated as of the applicable Bring-Down Delivery Date and delivered within one Exchange Business Day after the applicable Bring-Down Delivery Date or, in the case of a Bring-Down Delivery Date resulting from a Principal Settlement Date, delivered on such Principal Settlement Date, of the same tenor as the letter referred to in Section 5(a)(iv) hereof, but modified to relate to the Registration Statement, the Prospectus or any Permitted Free Writing Prospectus as amended and supplemented to the date of such letter, and, if the Registration Statement, the Prospectus or any Permitted Free Writing Prospectus shall include or incorporate by reference the financial statements of any entity or business (other than the consolidated financial statements of the Company and its subsidiaries), the Company shall, if requested by the Agent, cause a firm of independent public accountants to furnish to the Agent a “comfort” letter, dated as of the applicable Bring-Down Delivery Date and delivered within one Exchange Business Day after the applicable Bring-Down Delivery Date or, in the case of a Bring-Down Delivery Date resulting from a Principal Settlement Date, delivered on such Principal Settlement Date, addressing such matters as the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 (i) No order suspending the effectiveness of the Registration Statement shall be in effect, and no proceeding for such purpose or pursuant to Section 8A under the Act shall be pending before or threatened by the Commission; the Prospectus and each Permitted Free Writing Prospectus shall have been timely filed with the Commission under the Act (in the case of a Permitted Free Writing Prospectus, to the extent required by Rule 433 under the Act); and all requests by the Commission for additional information shall have been complied with to the satisfaction of the Agent and no suspension of the qualification of the Shares for offering or sale in any jurisdiction, or of the initiation or threatening of any proceedings for any of such purposes, shall have occurred and be in effect at the time the Company delivers a Transaction Proposal to the Agent or the time the Agent delivers a Transaction Acceptance to the Company; and (ii) the Registration Statement, the Prospectus or any Permitted Free Writing Prospectus shall not contain an untrue statement of material fact or omit to state a material fact required to be stated therein or necessary to make the statements therein, in the light of the circumstances under which they were made, not misleading at the time the Company delivers a Transaction Proposal to the Agent or the time the Agent delivers a Transaction Acceptance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reasonably cooperate with any reasonable due diligence review requested by the Agent or its counsel from time to time in connection with the transactions contemplated hereby or any Terms Agreement, including, without limitation, (i) at the commencement of each intended Purchase Date and any Time of Sale or Settlement Date, providing information and making available appropriate documents and appropriate corporate officers of the Company and, upon reasonable request, representatives of PricewaterhouseCoopers LLP (and, if the Registration Statement, the Prospectus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Permitted Free-Writing Prospectus shall include or incorporate by reference the financial statements of any entity or business (other than the consolidated financial statements of the Company and its subsidiaries), representatives of the independent public accountants that audited or reviewed such financial statements) for an update on diligence matters with representatives of the Agent and (ii) at each Bring-Down Delivery Date and otherwise as the Agent may reasonably request, providing information and making available documents and appropriate corporate officers of the Company and representatives of PricewaterhouseCoopers LLP (and, if the Registration Statement, the Prospectus or any Permitted Free-Writing Prospectus shall include or incorporate by reference the financial statements of any entity or business (other than the consolidated financial statements of the Company and its subsidiaries), representatives of the independent public accountants that audited or reviewed such financial statements) for one or more due diligence sessions with representatives of the Agent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disclose, in its quarterly reports on Form 10-Q and in its annual report on Form 10-K and, if requested by the Agent, in supplements to the Prospectus to be filed by the Company with the Commission from time to time, the number of the Shares sold through the Agent under this Agreement and any Terms Agreement, and the gross and net proceeds to the Company from the sale of the Shares during the relevant quarter or, in the case of any such prospectus supplement, such shorter period as the Agent may reasonably request or, in the case of an Annual Report on Form 10-K, during the fiscal year covered by such Annual Report and the fourth quarter of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and other documents referred to in Sections 6(b) through (d) above shall be reasonably satisfactory in form and substance to the Agent. The Agent will provide the Company with such notice (which may be oral, and in such case, will be confirmed via e-mail as soon as reasonably practicable thereafter) as is reasonably practicable under the circumstances when requesting an opinion, letter or other document referred to in Sections 6(b) through (d) above.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of the Agent’s Obligation</w:t>
      </w:r>
      <w:r>
        <w:rPr>
          <w:rFonts w:ascii="Times New Roman" w:hAnsi="Times New Roman"/>
          <w:sz w:val="20"/>
        </w:rPr>
        <w:t xml:space="preserve">. The Agent’s obligation to solicit purchases on an agency basis for the Shares or otherwise take any action pursuant to a Transaction Acceptance and to purchase the Shares pursuant to any Terms Agreement shall be subject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At the Time of Acceptance, at the time of the commencement of trading on the Exchange on the Purchase Date(s) and at the relevant Time of Sale and Agency Settlement Date, or with respect to a Principal Transaction pursuant to a Terms Agreement, at the time of execution and delivery of the Terms Agreement by the Company and at the relevant Time of Sale and Principal Settlement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warranties and agreements on the part of the Company herein contained or contained in any certificate of an officer or officers, general partner, managing member or other authorized representative of the Company or any subsidiary of the Company delivered pursuant to the provisions hereof shall be true and correct in all respects.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performed and observed its covenants and other obligations hereunder and/or under any Terms Agreement, as the case may be,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Agency Transaction, from the Time of Acceptance until the Agency Settlement Date, or, in the case of a Principal Transaction pursuant to a Terms Agreement, from the time of execution and delivery of the Terms Agreement by the Company until the Principal Settlement Date, trading in the Common Stock on the Exchange shall not have been suspended.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of this Agreement, no event or condition of a type described in Section 3(e) hereof shall have occurred or shall exist, which event or condition is not described in a Permitted Free Writing Prospectus (excluding any amendment or supplement thereto) or the Prospectus (excluding any amendment or supplement thereto) and the effect of which in the judgment of the Agent makes it impracticable or inadvisable to proceed with the offering, sale or delivery of the Shares on the applicable Settlement Date on the terms and in the manner contemplated by this Agreement, any Terms Agreement, any Permitted Free Writing Prospectus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Subsequent to the relevant Time of Acceptance or, in the case of a Principal Transaction, subsequent to execution of the applicable Terms Agreement, (A) no downgrading shall have occurred in the rating accorded any debt securities or preferred equity securities of or guaranteed by the Company or any of its subsidiaries by any “nationally recognized statistical rating organization”, as such term is defined by the Commission for purposes of Section 3(a)(62) of the Exchange Act and (B) no such organization shall have publicly announced that it has under surveillance or review, or has changed its outlook with respect to, its rating of any debt securities or preferred equity securities of or guaranteed by the Company or any of its subsidiaries (other than an announcement with positive implications of a possible upgrading) in each case that has not been described in any Permitted Free Writing Prospectus issued prior to any related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issued pursuant to the Transaction Acceptance or pursuant to a Terms Agreement, as applicable, shall have been approved for listing on the Exchange, subject only to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 action shall have been taken and no statute, rule, regulation or order shall have been enacted, adopted or issued by any federal, state or foreign governmental or regulatory authority that would, as of the relevant Settlement Date, prevent the issuance or sale of the Shares and (B) no injunction or order of any federal, state or foreign court shall have been issued that would, as of the relevant Settlement Date, prevent the issuance or sale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 order suspending the effectiveness of the Registration Statement shall be in effect, no proceeding for such purpose or pursuant to Section 8A of the Act shall be pending before or threatened by the Commission and no notice of objection of the Commission to the use of the Registration Statement pursuant to Rule 401(g)(2) under the Act shall have been received by the Company; (B) the Prospectus and each Permitted Free Writing Prospectus shall have been timely filed with the Commission under the Act (in the case of any Permitted Free Writing Prospectus, to the extent required by Rule 433 under the Act); (C) all requests by the Commission for additional information shall have been complied with to the satisfaction of the Agent; and (D) no suspension of the qualification of the Shares for offering or sale in any jurisdiction, and no initiation or threatening of any proceedings for any of such purposes, shall have occurred and be in effect. The Registration Statement, the Prospectus or any Permitted Free Writing Prospectus shall not contain an untrue statement of material fact or omit to state a material fact required to be stated therein or necessary to make the statements therein, in the light of the circumstances under which they were made, not misleading at the time the Agent delivers a Transaction Acceptance to the Company or the Company and the Agent execute a Terms Agreement,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amendment or supplement to the Registration Statement, the Prospectus or any Permitted Free Writing Prospectus shall have been filed to which the Agent shall have reasonably objected in writing.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Within one Exchange Business Day after the applicable Bring-Down Delivery Date or, in the case of a Bring-Down Delivery Date resulting from a Principal Settlement Date, on such Principal Settlement Date, the Agent shall have received the officer’s certificates, opinions and negative assurance letters of counsel and “comfort” letters and other documents provided for under Sections 6(b) through (d), inclusive. For purposes of clarity and without limitation to any other provision of this Section 7 or elsewhere in this Agreement, the parties hereto agree that the Agent’s obligations, if any, to solicit purchases of Shares on an agency basis or otherwise take any action pursuant to a Transaction Acceptance shall, unless otherwise agreed in writing by the Agent, be suspended during the period from and including a Bring-Down Delivery Date through and including the time that the Agent shall have received the documents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Company may terminate this Agreement in its sole discretion at any time upon prior written notice to the Agent, effective upon receipt thereof or at such later time as specified in such notice. Any such termination shall be without liability of any party to any other party, except that (A) with respect to any pending sale, the obligations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including in respect of compensation of the Agent, shall remain in full force and effect notwithstanding such termination; and (B) the provisions of Sections 3, 4 (except that if no Shares have been previously sold hereunder or under any Terms Agreement, only Section 4(l)), 9, 13, 14 and 16 of this Agreement shall remain in full force and effect notwithstanding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by the Company pursuant to a Terms Agreement, the obligations of the Company pursuant to such Terms Agreement and this Agreement may not be terminated by the Company without the prior written consent of the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Agent may terminate this Agreement in its sole discretion at any time upon giving prior written notice to the Company. Any such termination shall be without liability of any party to any other party, except that the provisions of Sections 3, 4 (except that if no Shares have been previously sold hereunder or under any Terms Agreement, only Section 4(l)), 9, 13, 14 and 16 of this Agreement shall remain in full force and effect notwithstanding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purchase by the Agent pursuant to a Terms Agreement, the obligations of the Agent pursuant to such Terms Agreement shall be subject to termination by the Agent at any time prior to or at the Principal Settlement Date if (A) since the time of execution of the Terms Agreement or the respective dates as of which information is given in the Registration Statement, the Prospectus and any Permitted Free Writing Prospectus, (i) trading generally shall have been suspended or materially limited on or by any of the New York Stock Exchange, the Nasdaq Stock Market, the Chicago Board Options Exchange, the Chicago Mercantile Exchange or the Chicago Board of Trade; (ii) trading of any securities issued or guaranteed by the Company or any of its subsidiaries shall have been suspended on any exchange or in any over-the counter market, (iii) a general moratorium on commercial banking activities shall have been declared by federal or New York state authorities, (iv) there shall have occurred any outbreak or escalation of hostilities or any change in financial markets or any calamity or crisis, either within or outside the United States, that, solely in the case of events and conditions described in this clause (iv), in the Agent’s judgment, is material and adverse and makes it impracticable or inadvisable to proceed with the offering, sale or delivery of the Shares on the terms and in the manner contemplated in the Prospectus or such Terms Agreement. If the Agent elects to terminate its obligations pursuant to this Section 8(b)(ii), the Company shall be notified promptly in writing.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Agreement shall remain in full force and effect until the earliest of (A) termination of the Agreement pursuant to Section 8(a) or 8(b) above or otherwise by mutual written agreement of the parties, (B) such date that the Maximum Amount of Shares has been sold in accordance with the terms of this Agreement and any Terms Agreements and (C) the third anniversary of the date of this Agreement, in each case except that the provisions of Section 3, 4 (except that if no Shares have been previously sold hereunder or under any Terms Agreement, only Section 4(l)), 9, 13, 14 and 16 of this Agreement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that, notwithstanding the foregoing, such termination shall not be effective until the close of business on the date of receipt of such notice by the Agent or the Company, as the case may be, or such later date as may be required pursuant to Section 8(a) or (b). If such termination shall occur prior to the Settlement Date for any sale of Shares, such sale shall settle in accordance with the provisions of Section 2 hereof.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Indemnity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the Agent, its affiliates, directors and officers and each person, if any, who controls the Agent within the meaning of Section 15 of the Act or Section 20 of the Exchange Act, from and against any and all losses, claims, damages and liabilities (including, without limitation, reasonable and documented out of pocket legal fees and other expenses incurred in connection with any suit, action or proceeding or any claim asserted, as such fees and expenses are incurred), to the extent that such losses arise out of, or are based upon, (i) any untrue statement or alleged untrue statement of a material fact contained in the Registration Statement (or any amendment thereto)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Permitted Free Writing Prospectus (or any amendment or supplement thereto), any “issuer information” filed or required to be filed pursuant to Rule 433(d) under the Act or any road show as defined in Rule 433(h) under the Act (a “</w:t>
      </w:r>
      <w:r>
        <w:rPr>
          <w:rFonts w:ascii="Times New Roman" w:hAnsi="Times New Roman"/>
          <w:b/>
          <w:sz w:val="20"/>
        </w:rPr>
        <w:t>road show</w:t>
      </w:r>
      <w:r>
        <w:rPr>
          <w:rFonts w:ascii="Times New Roman" w:hAnsi="Times New Roman"/>
          <w:sz w:val="20"/>
        </w:rPr>
        <w:t xml:space="preserve">”),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the Agent furnished to the Company in writing by the Agent expressly for use therein, it being understood and agreed that the only such information furnished by the Agent consists of the information described as such in subsection (b) below. </w:t>
      </w:r>
    </w:p>
    <w:p>
      <w:pPr>
        <w:pStyle w:val="TextBody"/>
        <w:bidi w:val="0"/>
        <w:spacing w:before="240" w:after="0"/>
        <w:jc w:val="left"/>
        <w:rPr>
          <w:rFonts w:ascii="Times New Roman" w:hAnsi="Times New Roman"/>
          <w:sz w:val="20"/>
        </w:rPr>
      </w:pPr>
      <w:r>
        <w:rPr>
          <w:rFonts w:ascii="Times New Roman" w:hAnsi="Times New Roman"/>
          <w:sz w:val="20"/>
        </w:rPr>
        <w:t xml:space="preserve">(b) The Agent agrees to indemnify and hold harmless the Company, its directors,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(including, without limitation, reasonable and documented legal fees and other reasonable and documented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the Agent furnished to the Company in writing by the Agent expressly for use in the Registration Statement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thereto), the Prospectus (or any amendment or supplement thereto), any Permitted Free Writing Prospectus (or any amendment or supplement thereto) or any road show, it being understood and agreed upon that such information shall consist solely of the following: the information appearing in the second sentence of the ninth paragraph under the caption “Plan of Distribution”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(c) If any suit, action, proceeding (including any governmental or regulatory investigation), claim or demand shall be brought or asserted against any person in respect of which indemnification may be sought pursuant to either Section 9(a) or 9(b) above, such person (the “</w:t>
      </w:r>
      <w:r>
        <w:rPr>
          <w:rFonts w:ascii="Times New Roman" w:hAnsi="Times New Roman"/>
          <w:b/>
          <w:sz w:val="20"/>
        </w:rPr>
        <w:t>Indemnified Person</w:t>
      </w:r>
      <w:r>
        <w:rPr>
          <w:rFonts w:ascii="Times New Roman" w:hAnsi="Times New Roman"/>
          <w:sz w:val="20"/>
        </w:rPr>
        <w:t>”) shall promptly notify the person against whom such indemnification may be sought (the “</w:t>
      </w:r>
      <w:r>
        <w:rPr>
          <w:rFonts w:ascii="Times New Roman" w:hAnsi="Times New Roman"/>
          <w:b/>
          <w:sz w:val="20"/>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this Section 9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included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and documented fees and expenses of more than one separate firm (in addition to any local counsel) for (A) the Agent and its affiliates, directors and officers and its control persons, if any, or (B) the Company, its directors, its officers who signed the Registration Statement and its control persons, if any, as the case may be, and that all such reasonable and documented fees and expenses shall be paid or reimbursed as they are incurred. Any such separate firm for the Agent and its affiliates, directors and officers and its control persons, if any, shall be designated in writing by the Agent, and any such separate firm for the Company, its directors, its officers who signed the Registration Statement and its control persons, if 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in respect of which any Indemnified Person is or could have been a party and indemnification is or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Notwithstanding the foregoing sentence, if at any time an Indemnified Person shall have requested an Indemnifying Person to reimburse the Indemnified Person for fees and expenses of counsel as contemplated by this Section 9(c), the Indemnifying Person agrees that it shall be liable for any settlement of any proceeding effected without its written consent if (i) such settlement is entered into more than 30 days after receipt by such Indemnifying Person of the aforesaid request and (ii) such Indemnifying Person shall not have reimbursed the Indemnified Person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Sections 9(a) and 9(b) above is unavailable to an Indemnified Person or insufficient in respect of any losses, claims, damages or liabilities referred to therein, then each Indemnifying Person under such Sections,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Agent, on the other, from the offering of the Shares pursuant to this Agreement and any Terms Agreements or (ii) if the allocation provided by clause (i) is not permitted by applicable law, in such proportion as is appropriate to reflect not only the relative benefits referred to in clause (i)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respective proportions as the net proceeds (before deducting expenses) received by the Company from the sale of the Shares pursuant to this Agreement and any Terms Agreements and the total discounts and commissions received by the Agent in connection therewith bear to the aggregate Gross Sales Price of such Shares. The relative fault of the Company, on the one hand, and Agent, on the other, shall be determined by reference to, among other things, whether the untrue or alleged untrue statement of a material fact or the omission or alleged omission to state a material fact relates to information supplied by the Company, on the one hand, or by Agent,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the Agent agree that it would not be just and equitable if contribution pursuant to this Section 9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or by any other method of allocation that does not take account of the equitable considerations referred to in Section 9(d) above. The amount paid or payable by an Indemnified Person as a result of the losses, claims, damages and liabilities referred to in Section 9(d) above shall be deemed to include, subject to the limitations set forth above, any reasonable and documented legal or other expenses incurred by such Indemnified Person in connection with any such action or claim. Notwithstanding the provisions of this Section 9, in no event shall the Agent be required to contribute any amount in excess of the amount by which the total discounts and commissions received by the Agent with respect to the offering of the Shares pursuant to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Terms Agreements exceeds the amount of any damages that the Agent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 The remedies provided for in this Section 9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notices and other communications under this Agreement and any Terms Agreement shall be in writing and shall be deemed to have been duly given if mailed or transmitted and confirmed by any standard form of communication, and, if to the Agent, shall be sufficient in all respects if delivered or sent to J.P. Morgan Securities LLC, 270 Park Avenue, New York, New York 10017, to the attention of Special Equities Group, Sanjeet Dewal (Phone: (212) 622-8783) (email: sanjeet.s.dewal@jpmorgan.com) and Preston Ryman (Phone: (212) 622-3132) (email: preston.t.ryman@jpmchase.com), and, if to the Company, shall be sufficient in all respects if delivered or sent to it at 1250 Page Mill Road, Palo Alto, California 94304, Attn: Chief Financial Officer. Notwithstanding the foregoing, Transaction Proposals shall be delivered by the Company to the Agent by telephone or email to Sanjeet Dewal (Phone: (212) 622-8783; email: sanjeet.s.dewal@jpmorgan.com) or Preston Ryman (Phone: (212) 622-3132; email preston.t.ryman@jpmchase.com); and Transaction Acceptances shall be delivered by the Agent to the Company by email to John Borgeson ([**]).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Fiduciary Relationship</w:t>
      </w:r>
      <w:r>
        <w:rPr>
          <w:rFonts w:ascii="Times New Roman" w:hAnsi="Times New Roman"/>
          <w:sz w:val="20"/>
        </w:rPr>
        <w:t xml:space="preserve">. The Company acknowledges and agrees that the Agent is acting solely in the capacity of an arm’s length contractual counterparty to the Company with respect to the offering of Shares contemplated hereby and any Terms Agreements (including in connection with determining the terms of the offering) and not as a financial advisor or a fiduciary to, or an agent of, the Company or any other person. Additionally, the Agent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Agent shall have no responsibility or liability to the Company with respect thereto. Any review by the Agent of the Company, the transactions contemplated hereby or other matters relating to such transactions will be performed solely for the benefit of the Agent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Adjustments for Stock Splits</w:t>
      </w:r>
      <w:r>
        <w:rPr>
          <w:rFonts w:ascii="Times New Roman" w:hAnsi="Times New Roman"/>
          <w:sz w:val="20"/>
        </w:rPr>
        <w:t xml:space="preserve">. The parties acknowledge and agree that all share related numbers contained in this Agreement, any Transaction Proposal and any Transaction Acceptance shall be adjusted to take into account any stock split effected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This Agreement, any Terms Agreement and any claim, controversy or dispute arising under or relating to this Agreement or any Terms Agreement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Submission to Jurisdiction</w:t>
      </w:r>
      <w:r>
        <w:rPr>
          <w:rFonts w:ascii="Times New Roman" w:hAnsi="Times New Roman"/>
          <w:sz w:val="20"/>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and any 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Persons Entitled to Benefit of Agreement</w:t>
      </w:r>
      <w:r>
        <w:rPr>
          <w:rFonts w:ascii="Times New Roman" w:hAnsi="Times New Roman"/>
          <w:sz w:val="20"/>
        </w:rPr>
        <w:t xml:space="preserve">. This Agreement and any Terms Agreement shall inure to the benefit of and be binding upon the parties hereto and thereto, respectively, and their respective successors and the officers, directors, affiliates and controlling persons referred to in Section 9 hereof. Nothing in this Agreement or any Terms Agreement is intended or shall be construed to give any other person any legal or equitable right, remedy or claim under or in respect of this Agreement or any such Terms Agreement or any provision contained herein or therein. No purchaser of Shares from or through the Agent shall be deemed to be a successor merely by reason of purchase.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Counterparts</w:t>
      </w:r>
      <w:r>
        <w:rPr>
          <w:rFonts w:ascii="Times New Roman" w:hAnsi="Times New Roman"/>
          <w:sz w:val="20"/>
        </w:rPr>
        <w:t xml:space="preserve">. This Agreement and any Terms Agreement may be signed in counterparts (which may include counterparts delivered by any standard form of telecommunication), each of which shall be an original and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Agent contained in this Agreement or any Terms Agreement or made by or on behalf of the Company or the Agent pursuant to this Agreement or any Terms Agreement or any certificate delivered pursuant hereto or thereto shall survive the delivery of and payment for the Shares and shall remain in full force and effect, regardless of any termination of this Agreement or any Terms Agreement or any investigation made by or on behalf of the Company or the Agent.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Certain Defined Terms</w:t>
      </w:r>
      <w:r>
        <w:rPr>
          <w:rFonts w:ascii="Times New Roman" w:hAnsi="Times New Roman"/>
          <w:sz w:val="20"/>
        </w:rPr>
        <w:t xml:space="preserve">. For purposes of this Agreement, except where otherwise expressly provided, the term “affiliate” has the meaning set forth in Rule 405 under Act; the term “business day” means any day other than a day on which banks are permitted or required to be closed in New York City; and the term “subsidiary” has the meaning set forth in Rule 405 under the Act.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the Agent is a Covered Entity and becomes subject to a proceeding under a U.S. Special Resolution Regime, the transfer from the Agent of this Agreement or any Terms Agreement, and any interest and obligation in or under this Agreement or any Terms Agreement, will be effective to the same extent as the transfer would be effective under the U.S. Special Resolution Regime if this Agreement or any Terms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Agent is a Covered Entity or a BHC Act Affiliate of the Agent becomes subject to a proceeding under a U.S. Special Resolution Regime, Default Rights under this Agreement or any Terms Agreement that may be exercised against the Agent are permitted to be exercised to no greater extent than such Default Rights could be exercised under the U.S. Special Resolution Regime if this Agreement or any Terms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18: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Agent is required to obtain, verify and record information that identifies its clients, including the Company, which information may include the name and address of its clients, as well as other information that will allow the Agent to properly identify its clients.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Amendments or Waivers</w:t>
      </w:r>
      <w:r>
        <w:rPr>
          <w:rFonts w:ascii="Times New Roman" w:hAnsi="Times New Roman"/>
          <w:sz w:val="20"/>
        </w:rPr>
        <w:t xml:space="preserve">. No amendment or waiver of any provision of this Agreement or any Terms Agreement, nor any consent or approval to any departure therefrom, shall in any event be effective unless the same shall be in writing and signed by the parties hereto or thereto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Headings</w:t>
      </w:r>
      <w:r>
        <w:rPr>
          <w:rFonts w:ascii="Times New Roman" w:hAnsi="Times New Roman"/>
          <w:sz w:val="20"/>
        </w:rPr>
        <w:t xml:space="preserve">. The headings herein and in any Terms Agreement are included for convenience of reference only and are not intended to be part of, or to affect the meaning or interpretation of, this Agreement or any Terms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 please so indicate in the space provided below for that purpose, whereupon this letter and your acceptance shall constitute a binding agreement among the Company and the Agent. </w:t>
      </w:r>
    </w:p>
    <w:p>
      <w:pPr>
        <w:pStyle w:val="TextBody"/>
        <w:bidi w:val="0"/>
        <w:spacing w:before="0" w:after="0"/>
        <w:jc w:val="left"/>
        <w:rPr/>
      </w:pPr>
      <w:r>
        <w:rPr/>
        <w:t> </w:t>
      </w:r>
    </w:p>
    <w:tbl>
      <w:tblPr>
        <w:tblW w:w="4805" w:type="dxa"/>
        <w:jc w:val="right"/>
        <w:tblInd w:w="0" w:type="dxa"/>
        <w:tblLayout w:type="fixed"/>
        <w:tblCellMar>
          <w:top w:w="0" w:type="dxa"/>
          <w:left w:w="0" w:type="dxa"/>
          <w:bottom w:w="0" w:type="dxa"/>
          <w:right w:w="0" w:type="dxa"/>
        </w:tblCellMar>
      </w:tblPr>
      <w:tblGrid>
        <w:gridCol w:w="1127"/>
        <w:gridCol w:w="221"/>
        <w:gridCol w:w="3457"/>
      </w:tblGrid>
      <w:tr>
        <w:trPr/>
        <w:tc>
          <w:tcPr>
            <w:tcW w:w="112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805"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Pr>
          <w:p>
            <w:pPr>
              <w:pStyle w:val="TableContents"/>
              <w:bidi w:val="0"/>
              <w:spacing w:before="0" w:after="283"/>
              <w:jc w:val="left"/>
              <w:rPr>
                <w:b/>
              </w:rPr>
            </w:pPr>
            <w:r>
              <w:rPr>
                <w:b/>
              </w:rPr>
              <w:t>KODIAK SCIENCES INC.</w:t>
            </w:r>
          </w:p>
        </w:tc>
      </w:tr>
      <w:tr>
        <w:trPr>
          <w:trHeight w:val="240" w:hRule="atLeast"/>
        </w:trPr>
        <w:tc>
          <w:tcPr>
            <w:tcW w:w="1127"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By:</w:t>
            </w:r>
          </w:p>
        </w:tc>
        <w:tc>
          <w:tcPr>
            <w:tcW w:w="221" w:type="dxa"/>
            <w:tcBorders>
              <w:bottom w:val="single" w:sz="2" w:space="0" w:color="000000"/>
            </w:tcBorders>
            <w:tcMar>
              <w:bottom w:w="28" w:type="dxa"/>
            </w:tcMar>
            <w:vAlign w:val="bottom"/>
          </w:tcPr>
          <w:p>
            <w:pPr>
              <w:pStyle w:val="TableContents"/>
              <w:bidi w:val="0"/>
              <w:spacing w:before="0" w:after="283"/>
              <w:jc w:val="left"/>
              <w:rPr/>
            </w:pPr>
            <w:r>
              <w:rPr/>
              <w:t> </w:t>
            </w:r>
          </w:p>
        </w:tc>
        <w:tc>
          <w:tcPr>
            <w:tcW w:w="3457" w:type="dxa"/>
            <w:tcBorders>
              <w:bottom w:val="single" w:sz="2" w:space="0" w:color="000000"/>
            </w:tcBorders>
            <w:tcMar>
              <w:bottom w:w="28" w:type="dxa"/>
            </w:tcMar>
          </w:tcPr>
          <w:p>
            <w:pPr>
              <w:pStyle w:val="TableContents"/>
              <w:bidi w:val="0"/>
              <w:spacing w:before="0" w:after="283"/>
              <w:jc w:val="left"/>
              <w:rPr/>
            </w:pPr>
            <w:r>
              <w:rPr/>
              <w:t>/s/ John Borgeson</w:t>
            </w:r>
          </w:p>
        </w:tc>
      </w:tr>
      <w:tr>
        <w:trPr/>
        <w:tc>
          <w:tcPr>
            <w:tcW w:w="48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John Borgeson</w:t>
            </w:r>
          </w:p>
        </w:tc>
      </w:tr>
      <w:tr>
        <w:trPr/>
        <w:tc>
          <w:tcPr>
            <w:tcW w:w="48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 to as of the</w:t>
            </w:r>
          </w:p>
          <w:p>
            <w:pPr>
              <w:pStyle w:val="TableContents"/>
              <w:bidi w:val="0"/>
              <w:spacing w:before="0" w:after="20"/>
              <w:jc w:val="left"/>
              <w:rPr>
                <w:rFonts w:ascii="Times New Roman" w:hAnsi="Times New Roman"/>
                <w:sz w:val="20"/>
              </w:rPr>
            </w:pPr>
            <w:r>
              <w:rPr>
                <w:rFonts w:ascii="Times New Roman" w:hAnsi="Times New Roman"/>
                <w:sz w:val="20"/>
              </w:rPr>
              <w:t>date first above written:</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Preston T. Ryman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Preston T. Ryman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Authorized Company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Victor Perlroth, CEO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Phone: [**] </w:t>
      </w:r>
    </w:p>
    <w:p>
      <w:pPr>
        <w:pStyle w:val="TextBody"/>
        <w:bidi w:val="0"/>
        <w:spacing w:before="240" w:after="0"/>
        <w:jc w:val="left"/>
        <w:rPr>
          <w:rFonts w:ascii="Times New Roman" w:hAnsi="Times New Roman"/>
          <w:sz w:val="20"/>
        </w:rPr>
      </w:pPr>
      <w:r>
        <w:rPr>
          <w:rFonts w:ascii="Times New Roman" w:hAnsi="Times New Roman"/>
          <w:sz w:val="20"/>
        </w:rPr>
        <w:t xml:space="preserve">John Borgeson, CFO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Phone: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Kodiak Sciences Inc. 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TERMS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_____________, 20__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120" w:after="0"/>
        <w:jc w:val="left"/>
        <w:rPr>
          <w:rFonts w:ascii="Times New Roman" w:hAnsi="Times New Roman"/>
          <w:sz w:val="20"/>
        </w:rPr>
      </w:pPr>
      <w:r>
        <w:rPr>
          <w:rFonts w:ascii="Times New Roman" w:hAnsi="Times New Roman"/>
          <w:sz w:val="20"/>
        </w:rPr>
        <w:t>Kodiak Sciences Inc., a Delaware corporation (the “</w:t>
      </w:r>
      <w:r>
        <w:rPr>
          <w:rFonts w:ascii="Times New Roman" w:hAnsi="Times New Roman"/>
          <w:b/>
          <w:sz w:val="20"/>
        </w:rPr>
        <w:t>Company</w:t>
      </w:r>
      <w:r>
        <w:rPr>
          <w:rFonts w:ascii="Times New Roman" w:hAnsi="Times New Roman"/>
          <w:sz w:val="20"/>
        </w:rPr>
        <w:t>”), proposes, subject to the terms and conditions stated herein and in the Distribution Agreement dated October 20, 2026 (the “</w:t>
      </w:r>
      <w:r>
        <w:rPr>
          <w:rFonts w:ascii="Times New Roman" w:hAnsi="Times New Roman"/>
          <w:b/>
          <w:sz w:val="20"/>
        </w:rPr>
        <w:t>Distribution Agreement</w:t>
      </w:r>
      <w:r>
        <w:rPr>
          <w:rFonts w:ascii="Times New Roman" w:hAnsi="Times New Roman"/>
          <w:sz w:val="20"/>
        </w:rPr>
        <w:t>”) between the Company and J.P. Morgan Securities LLC (the “</w:t>
      </w:r>
      <w:r>
        <w:rPr>
          <w:rFonts w:ascii="Times New Roman" w:hAnsi="Times New Roman"/>
          <w:b/>
          <w:sz w:val="20"/>
        </w:rPr>
        <w:t>Agent</w:t>
      </w:r>
      <w:r>
        <w:rPr>
          <w:rFonts w:ascii="Times New Roman" w:hAnsi="Times New Roman"/>
          <w:sz w:val="20"/>
        </w:rPr>
        <w:t>”), to issue and sell to the Agent the securities specified in the Schedule hereto (the “</w:t>
      </w:r>
      <w:r>
        <w:rPr>
          <w:rFonts w:ascii="Times New Roman" w:hAnsi="Times New Roman"/>
          <w:b/>
          <w:sz w:val="20"/>
        </w:rPr>
        <w:t>Purchased Securities</w:t>
      </w:r>
      <w:r>
        <w:rPr>
          <w:rFonts w:ascii="Times New Roman" w:hAnsi="Times New Roman"/>
          <w:sz w:val="20"/>
        </w:rPr>
        <w:t xml:space="preserve">”). Unless otherwise defined below, terms defined in the Distribution Agreement shall have the same meanings when used herein. </w:t>
      </w:r>
    </w:p>
    <w:p>
      <w:pPr>
        <w:pStyle w:val="TextBody"/>
        <w:bidi w:val="0"/>
        <w:spacing w:before="240" w:after="0"/>
        <w:jc w:val="left"/>
        <w:rPr>
          <w:rFonts w:ascii="Times New Roman" w:hAnsi="Times New Roman"/>
          <w:sz w:val="20"/>
        </w:rPr>
      </w:pPr>
      <w:r>
        <w:rPr>
          <w:rFonts w:ascii="Times New Roman" w:hAnsi="Times New Roman"/>
          <w:sz w:val="20"/>
        </w:rPr>
        <w:t xml:space="preserve">Each of the provisions of the Distribution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warranties and agreements set forth therein shall be deemed to have been made as of the date of this Terms Agreement and the Settlement Date set forth in the Schedule hereto. </w:t>
      </w:r>
    </w:p>
    <w:p>
      <w:pPr>
        <w:pStyle w:val="TextBody"/>
        <w:bidi w:val="0"/>
        <w:spacing w:before="240" w:after="0"/>
        <w:jc w:val="left"/>
        <w:rPr>
          <w:rFonts w:ascii="Times New Roman" w:hAnsi="Times New Roman"/>
          <w:sz w:val="20"/>
        </w:rPr>
      </w:pPr>
      <w:r>
        <w:rPr>
          <w:rFonts w:ascii="Times New Roman" w:hAnsi="Times New Roman"/>
          <w:sz w:val="20"/>
        </w:rPr>
        <w:t xml:space="preserve">An amendment to the Registration Statement or a supplement to the Prospectus, as the case may be, relating to the Purchased Securities, in the form heretofore delivered to the Agent, is now proposed to be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herein and in the Distribution Agreement which are incorporated herein by reference, the Company agrees to issue and sell to the Agent, and the latter agrees to purchase from the Company, the Purchased Securities at the time and place and at the purchase price set forth in the Schedule 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the Distribution Agreement or this Terms Agreement to the contrary, the Company consents to the Agent trading in the Common Stock for Agent’s own account and for the account of its clients at the same time as sales of the Purchased Securities occur pursuant to this Terms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whereupon this Terms Agreement, including those provisions of the Distribution Agreement incorporated herein by reference, shall constitute a binding agreement between the Agent and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6"/>
        <w:gridCol w:w="61"/>
        <w:gridCol w:w="3615"/>
      </w:tblGrid>
      <w:tr>
        <w:trPr/>
        <w:tc>
          <w:tcPr>
            <w:tcW w:w="40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KODIAK SCIENCES INC.</w:t>
            </w:r>
          </w:p>
        </w:tc>
      </w:tr>
      <w:tr>
        <w:trPr>
          <w:trHeight w:val="240" w:hRule="atLeast"/>
        </w:trPr>
        <w:tc>
          <w:tcPr>
            <w:tcW w:w="406" w:type="dxa"/>
            <w:tcBorders/>
            <w:vAlign w:val="center"/>
          </w:tcPr>
          <w:p>
            <w:pPr>
              <w:pStyle w:val="TableContents"/>
              <w:bidi w:val="0"/>
              <w:spacing w:before="0" w:after="283"/>
              <w:jc w:val="left"/>
              <w:rPr>
                <w:sz w:val="4"/>
                <w:szCs w:val="4"/>
              </w:rPr>
            </w:pPr>
            <w:r>
              <w:rPr>
                <w:sz w:val="4"/>
                <w:szCs w:val="4"/>
              </w:rPr>
            </w:r>
          </w:p>
        </w:tc>
        <w:tc>
          <w:tcPr>
            <w:tcW w:w="3676" w:type="dxa"/>
            <w:gridSpan w:val="2"/>
            <w:tcBorders/>
            <w:vAlign w:val="center"/>
          </w:tcPr>
          <w:p>
            <w:pPr>
              <w:pStyle w:val="TableContents"/>
              <w:bidi w:val="0"/>
              <w:spacing w:before="0" w:after="283"/>
              <w:jc w:val="left"/>
              <w:rPr>
                <w:sz w:val="4"/>
                <w:szCs w:val="4"/>
              </w:rPr>
            </w:pPr>
            <w:r>
              <w:rPr>
                <w:sz w:val="4"/>
                <w:szCs w:val="4"/>
              </w:rPr>
            </w:r>
          </w:p>
        </w:tc>
      </w:tr>
      <w:tr>
        <w:trPr/>
        <w:tc>
          <w:tcPr>
            <w:tcW w:w="40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5" w:type="dxa"/>
            <w:tcBorders>
              <w:bottom w:val="single" w:sz="2" w:space="0" w:color="000000"/>
            </w:tcBorders>
            <w:tcMar>
              <w:bottom w:w="28" w:type="dxa"/>
            </w:tcMar>
          </w:tcPr>
          <w:p>
            <w:pPr>
              <w:pStyle w:val="TableContents"/>
              <w:bidi w:val="0"/>
              <w:spacing w:before="0" w:after="283"/>
              <w:jc w:val="left"/>
              <w:rPr/>
            </w:pPr>
            <w:r>
              <w:rPr/>
              <w:t> </w:t>
            </w:r>
          </w:p>
        </w:tc>
      </w:tr>
      <w:tr>
        <w:trPr/>
        <w:tc>
          <w:tcPr>
            <w:tcW w:w="4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3"/>
        <w:gridCol w:w="68"/>
        <w:gridCol w:w="3392"/>
        <w:gridCol w:w="23"/>
        <w:gridCol w:w="26"/>
      </w:tblGrid>
      <w:tr>
        <w:trPr/>
        <w:tc>
          <w:tcPr>
            <w:tcW w:w="573"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6" w:type="dxa"/>
            <w:tcBorders/>
          </w:tcPr>
          <w:p>
            <w:pPr>
              <w:pStyle w:val="TableContents"/>
              <w:bidi w:val="0"/>
              <w:spacing w:before="0" w:after="283"/>
              <w:jc w:val="left"/>
              <w:rPr>
                <w:sz w:val="4"/>
                <w:szCs w:val="4"/>
              </w:rPr>
            </w:pPr>
            <w:r>
              <w:rPr>
                <w:sz w:val="4"/>
                <w:szCs w:val="4"/>
              </w:rPr>
            </w:r>
          </w:p>
        </w:tc>
      </w:tr>
      <w:tr>
        <w:trPr/>
        <w:tc>
          <w:tcPr>
            <w:tcW w:w="403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Accepted and agreed as of</w:t>
            </w:r>
          </w:p>
          <w:p>
            <w:pPr>
              <w:pStyle w:val="TableContents"/>
              <w:bidi w:val="0"/>
              <w:spacing w:before="0" w:after="20"/>
              <w:jc w:val="left"/>
              <w:rPr>
                <w:rFonts w:ascii="Times New Roman" w:hAnsi="Times New Roman"/>
                <w:sz w:val="20"/>
              </w:rPr>
            </w:pPr>
            <w:r>
              <w:rPr>
                <w:rFonts w:ascii="Times New Roman" w:hAnsi="Times New Roman"/>
                <w:sz w:val="20"/>
              </w:rPr>
              <w:t>the date first above written:</w:t>
            </w:r>
          </w:p>
        </w:tc>
        <w:tc>
          <w:tcPr>
            <w:tcW w:w="23" w:type="dxa"/>
            <w:tcBorders/>
          </w:tcPr>
          <w:p>
            <w:pPr>
              <w:pStyle w:val="TableContents"/>
              <w:bidi w:val="0"/>
              <w:spacing w:before="0" w:after="283"/>
              <w:jc w:val="left"/>
              <w:rPr>
                <w:sz w:val="4"/>
                <w:szCs w:val="4"/>
              </w:rPr>
            </w:pPr>
            <w:r>
              <w:rPr>
                <w:sz w:val="4"/>
                <w:szCs w:val="4"/>
              </w:rPr>
            </w:r>
          </w:p>
        </w:tc>
        <w:tc>
          <w:tcPr>
            <w:tcW w:w="26" w:type="dxa"/>
            <w:tcBorders/>
          </w:tcPr>
          <w:p>
            <w:pPr>
              <w:pStyle w:val="TableContents"/>
              <w:bidi w:val="0"/>
              <w:spacing w:before="0" w:after="283"/>
              <w:jc w:val="left"/>
              <w:rPr>
                <w:sz w:val="4"/>
                <w:szCs w:val="4"/>
              </w:rPr>
            </w:pPr>
            <w:r>
              <w:rPr>
                <w:sz w:val="4"/>
                <w:szCs w:val="4"/>
              </w:rPr>
            </w:r>
          </w:p>
        </w:tc>
      </w:tr>
      <w:tr>
        <w:trPr>
          <w:trHeight w:val="240" w:hRule="atLeast"/>
        </w:trPr>
        <w:tc>
          <w:tcPr>
            <w:tcW w:w="4033" w:type="dxa"/>
            <w:gridSpan w:val="3"/>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6" w:type="dxa"/>
            <w:tcBorders/>
          </w:tcPr>
          <w:p>
            <w:pPr>
              <w:pStyle w:val="TableContents"/>
              <w:bidi w:val="0"/>
              <w:spacing w:before="0" w:after="283"/>
              <w:jc w:val="left"/>
              <w:rPr>
                <w:sz w:val="4"/>
                <w:szCs w:val="4"/>
              </w:rPr>
            </w:pPr>
            <w:r>
              <w:rPr>
                <w:sz w:val="4"/>
                <w:szCs w:val="4"/>
              </w:rPr>
            </w:r>
          </w:p>
        </w:tc>
      </w:tr>
      <w:tr>
        <w:trPr/>
        <w:tc>
          <w:tcPr>
            <w:tcW w:w="4033"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3" w:type="dxa"/>
            <w:tcBorders/>
          </w:tcPr>
          <w:p>
            <w:pPr>
              <w:pStyle w:val="TableContents"/>
              <w:bidi w:val="0"/>
              <w:spacing w:before="0" w:after="283"/>
              <w:jc w:val="left"/>
              <w:rPr>
                <w:sz w:val="4"/>
                <w:szCs w:val="4"/>
              </w:rPr>
            </w:pPr>
            <w:r>
              <w:rPr>
                <w:sz w:val="4"/>
                <w:szCs w:val="4"/>
              </w:rPr>
            </w:r>
          </w:p>
        </w:tc>
        <w:tc>
          <w:tcPr>
            <w:tcW w:w="26" w:type="dxa"/>
            <w:tcBorders/>
          </w:tcPr>
          <w:p>
            <w:pPr>
              <w:pStyle w:val="TableContents"/>
              <w:bidi w:val="0"/>
              <w:spacing w:before="0" w:after="283"/>
              <w:jc w:val="left"/>
              <w:rPr>
                <w:sz w:val="4"/>
                <w:szCs w:val="4"/>
              </w:rPr>
            </w:pPr>
            <w:r>
              <w:rPr>
                <w:sz w:val="4"/>
                <w:szCs w:val="4"/>
              </w:rPr>
            </w:r>
          </w:p>
        </w:tc>
      </w:tr>
      <w:tr>
        <w:trPr>
          <w:trHeight w:val="240" w:hRule="atLeast"/>
        </w:trPr>
        <w:tc>
          <w:tcPr>
            <w:tcW w:w="4033" w:type="dxa"/>
            <w:gridSpan w:val="3"/>
            <w:vMerge w:val="continue"/>
            <w:tcBorders/>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r>
      <w:tr>
        <w:trPr/>
        <w:tc>
          <w:tcPr>
            <w:tcW w:w="573"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392" w:type="dxa"/>
            <w:tcBorders>
              <w:bottom w:val="single" w:sz="2" w:space="0" w:color="000000"/>
            </w:tcBorders>
            <w:tcMar>
              <w:bottom w:w="28" w:type="dxa"/>
            </w:tcMar>
          </w:tcPr>
          <w:p>
            <w:pPr>
              <w:pStyle w:val="TableContents"/>
              <w:bidi w:val="0"/>
              <w:spacing w:before="0" w:after="283"/>
              <w:jc w:val="left"/>
              <w:rPr/>
            </w:pPr>
            <w:r>
              <w:rPr/>
              <w:t> </w:t>
            </w:r>
          </w:p>
        </w:tc>
        <w:tc>
          <w:tcPr>
            <w:tcW w:w="49" w:type="dxa"/>
            <w:gridSpan w:val="2"/>
            <w:tcBorders/>
          </w:tcPr>
          <w:p>
            <w:pPr>
              <w:pStyle w:val="TableContents"/>
              <w:bidi w:val="0"/>
              <w:spacing w:before="0" w:after="283"/>
              <w:jc w:val="left"/>
              <w:rPr>
                <w:sz w:val="4"/>
                <w:szCs w:val="4"/>
              </w:rPr>
            </w:pPr>
            <w:r>
              <w:rPr>
                <w:sz w:val="4"/>
                <w:szCs w:val="4"/>
              </w:rPr>
            </w:r>
          </w:p>
        </w:tc>
      </w:tr>
      <w:tr>
        <w:trPr/>
        <w:tc>
          <w:tcPr>
            <w:tcW w:w="573"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49" w:type="dxa"/>
            <w:gridSpan w:val="2"/>
            <w:tcBorders/>
          </w:tcPr>
          <w:p>
            <w:pPr>
              <w:pStyle w:val="TableContents"/>
              <w:bidi w:val="0"/>
              <w:spacing w:before="0" w:after="283"/>
              <w:jc w:val="left"/>
              <w:rPr>
                <w:sz w:val="4"/>
                <w:szCs w:val="4"/>
              </w:rPr>
            </w:pPr>
            <w:r>
              <w:rPr>
                <w:sz w:val="4"/>
                <w:szCs w:val="4"/>
              </w:rPr>
            </w:r>
          </w:p>
        </w:tc>
      </w:tr>
      <w:tr>
        <w:trPr/>
        <w:tc>
          <w:tcPr>
            <w:tcW w:w="573"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4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to Terms Agreement </w:t>
      </w:r>
    </w:p>
    <w:p>
      <w:pPr>
        <w:pStyle w:val="TextBody"/>
        <w:bidi w:val="0"/>
        <w:spacing w:before="240" w:after="0"/>
        <w:jc w:val="left"/>
        <w:rPr>
          <w:rFonts w:ascii="Times New Roman" w:hAnsi="Times New Roman"/>
          <w:sz w:val="20"/>
        </w:rPr>
      </w:pPr>
      <w:r>
        <w:rPr>
          <w:rFonts w:ascii="Times New Roman" w:hAnsi="Times New Roman"/>
          <w:sz w:val="20"/>
        </w:rPr>
        <w:t xml:space="preserve">Title of Purchased Securities: </w:t>
      </w:r>
    </w:p>
    <w:p>
      <w:pPr>
        <w:pStyle w:val="TextBody"/>
        <w:bidi w:val="0"/>
        <w:spacing w:before="120" w:after="0"/>
        <w:jc w:val="left"/>
        <w:rPr>
          <w:rFonts w:ascii="Times New Roman" w:hAnsi="Times New Roman"/>
          <w:sz w:val="20"/>
        </w:rPr>
      </w:pPr>
      <w:r>
        <w:rPr>
          <w:rFonts w:ascii="Times New Roman" w:hAnsi="Times New Roman"/>
          <w:sz w:val="20"/>
        </w:rPr>
        <w:t xml:space="preserve">Common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Purchased Securities: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t>
      </w:r>
    </w:p>
    <w:p>
      <w:pPr>
        <w:pStyle w:val="TextBody"/>
        <w:bidi w:val="0"/>
        <w:spacing w:before="240" w:after="0"/>
        <w:jc w:val="left"/>
        <w:rPr>
          <w:rFonts w:ascii="Times New Roman" w:hAnsi="Times New Roman"/>
          <w:sz w:val="20"/>
        </w:rPr>
      </w:pPr>
      <w:r>
        <w:rPr>
          <w:rFonts w:ascii="Times New Roman" w:hAnsi="Times New Roman"/>
          <w:sz w:val="20"/>
        </w:rPr>
        <w:t xml:space="preserve">Initial Price to Public: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Purchase Price Payable by the Agent: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Method of and Specified Funds for Payment of Purchase Price: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By wire transfer to a bank account specified by the Company in same day funds.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Method of Delivery: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To the Agent’s account, or the account of the Agent’s designee, at The Depository Trust Company via DWAC in return for payment of the purchase price.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Settlement Date: </w:t>
      </w:r>
    </w:p>
    <w:p>
      <w:pPr>
        <w:pStyle w:val="TextBody"/>
        <w:bidi w:val="0"/>
        <w:spacing w:before="120" w:after="0"/>
        <w:jc w:val="left"/>
        <w:rPr>
          <w:rFonts w:ascii="Times New Roman" w:hAnsi="Times New Roman"/>
          <w:sz w:val="20"/>
        </w:rPr>
      </w:pPr>
      <w:r>
        <w:rPr>
          <w:rFonts w:ascii="Times New Roman" w:hAnsi="Times New Roman"/>
          <w:sz w:val="20"/>
        </w:rPr>
        <w:t xml:space="preserve">[], 20[] </w:t>
      </w:r>
    </w:p>
    <w:p>
      <w:pPr>
        <w:pStyle w:val="TextBody"/>
        <w:bidi w:val="0"/>
        <w:spacing w:before="240" w:after="0"/>
        <w:jc w:val="left"/>
        <w:rPr>
          <w:rFonts w:ascii="Times New Roman" w:hAnsi="Times New Roman"/>
          <w:sz w:val="20"/>
        </w:rPr>
      </w:pPr>
      <w:r>
        <w:rPr>
          <w:rFonts w:ascii="Times New Roman" w:hAnsi="Times New Roman"/>
          <w:sz w:val="20"/>
        </w:rPr>
        <w:t xml:space="preserve">Closing Location: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Documents to be Delivered: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referred to in the Distribution Agreement shall be delivered on the Settlement Date as a condition to the closing for the Purchased Securities (which documents shall be dated on or as of the Settlement Date and shall be appropriately updated to cover any Permitted Free Writing Prospectuses and any amendments or supplements to the Registration Statement, the Prospectus, any Permitted Free Writing Prospectuses and any documents incorporated by reference therein): </w:t>
      </w:r>
    </w:p>
    <w:p>
      <w:pPr>
        <w:pStyle w:val="TextBody"/>
        <w:bidi w:val="0"/>
        <w:spacing w:before="120" w:after="0"/>
        <w:jc w:val="left"/>
        <w:rPr>
          <w:rFonts w:ascii="Times New Roman" w:hAnsi="Times New Roman"/>
          <w:sz w:val="20"/>
        </w:rPr>
      </w:pPr>
      <w:r>
        <w:rPr>
          <w:rFonts w:ascii="Times New Roman" w:hAnsi="Times New Roman"/>
          <w:sz w:val="20"/>
        </w:rPr>
        <w:t xml:space="preserve">(1) the officer’s certificate referred to in Section 5(a)(i); </w:t>
      </w:r>
    </w:p>
    <w:p>
      <w:pPr>
        <w:pStyle w:val="TextBody"/>
        <w:bidi w:val="0"/>
        <w:spacing w:before="240" w:after="0"/>
        <w:jc w:val="left"/>
        <w:rPr>
          <w:rFonts w:ascii="Times New Roman" w:hAnsi="Times New Roman"/>
          <w:sz w:val="20"/>
        </w:rPr>
      </w:pPr>
      <w:r>
        <w:rPr>
          <w:rFonts w:ascii="Times New Roman" w:hAnsi="Times New Roman"/>
          <w:sz w:val="20"/>
        </w:rPr>
        <w:t xml:space="preserve">(2) the opinion and negative assurance letter of the Company’s outside counsel referred to in Section 5(a)(ii); </w:t>
      </w:r>
    </w:p>
    <w:p>
      <w:pPr>
        <w:pStyle w:val="TextBody"/>
        <w:bidi w:val="0"/>
        <w:spacing w:before="240" w:after="0"/>
        <w:jc w:val="left"/>
        <w:rPr>
          <w:rFonts w:ascii="Times New Roman" w:hAnsi="Times New Roman"/>
          <w:sz w:val="20"/>
        </w:rPr>
      </w:pPr>
      <w:r>
        <w:rPr>
          <w:rFonts w:ascii="Times New Roman" w:hAnsi="Times New Roman"/>
          <w:sz w:val="20"/>
        </w:rPr>
        <w:t xml:space="preserve">(3) the “comfort” letter referred to in Section 5(a)(iv); </w:t>
      </w:r>
    </w:p>
    <w:p>
      <w:pPr>
        <w:pStyle w:val="TextBody"/>
        <w:bidi w:val="0"/>
        <w:spacing w:before="240" w:after="0"/>
        <w:jc w:val="left"/>
        <w:rPr>
          <w:rFonts w:ascii="Times New Roman" w:hAnsi="Times New Roman"/>
          <w:sz w:val="20"/>
        </w:rPr>
      </w:pPr>
      <w:r>
        <w:rPr>
          <w:rFonts w:ascii="Times New Roman" w:hAnsi="Times New Roman"/>
          <w:sz w:val="20"/>
        </w:rPr>
        <w:t xml:space="preserve">(4) the opinion of the Company’s outside intellectual property counsel referred to in Section 5(a)(iii); </w:t>
      </w:r>
    </w:p>
    <w:p>
      <w:pPr>
        <w:pStyle w:val="TextBody"/>
        <w:bidi w:val="0"/>
        <w:spacing w:before="240" w:after="0"/>
        <w:jc w:val="left"/>
        <w:rPr>
          <w:rFonts w:ascii="Times New Roman" w:hAnsi="Times New Roman"/>
          <w:sz w:val="20"/>
        </w:rPr>
      </w:pPr>
      <w:r>
        <w:rPr>
          <w:rFonts w:ascii="Times New Roman" w:hAnsi="Times New Roman"/>
          <w:sz w:val="20"/>
        </w:rPr>
        <w:t xml:space="preserve">(5) the opinion and negative assurance letter referred to in Section 5(b); and </w:t>
      </w:r>
    </w:p>
    <w:p>
      <w:pPr>
        <w:pStyle w:val="TextBody"/>
        <w:bidi w:val="0"/>
        <w:spacing w:before="240" w:after="0"/>
        <w:jc w:val="left"/>
        <w:rPr>
          <w:rFonts w:ascii="Times New Roman" w:hAnsi="Times New Roman"/>
          <w:sz w:val="20"/>
        </w:rPr>
      </w:pPr>
      <w:r>
        <w:rPr>
          <w:rFonts w:ascii="Times New Roman" w:hAnsi="Times New Roman"/>
          <w:sz w:val="20"/>
        </w:rPr>
        <w:t xml:space="preserve">(6) such other documents as the Agent shall reasonably request.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Lockup:</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Time of sale: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a.m./p.m.</w:t>
      </w:r>
      <w:r>
        <w:rPr>
          <w:rFonts w:ascii="Times New Roman" w:hAnsi="Times New Roman"/>
          <w:b/>
          <w:sz w:val="20"/>
        </w:rPr>
        <w:t>]</w:t>
      </w:r>
      <w:r>
        <w:rPr>
          <w:rFonts w:ascii="Times New Roman" w:hAnsi="Times New Roman"/>
          <w:sz w:val="20"/>
        </w:rPr>
        <w:t xml:space="preserve"> (New York City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Purchased Securities set forth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price to public set forth above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CERTIFICATE </w:t>
      </w:r>
    </w:p>
    <w:p>
      <w:pPr>
        <w:pStyle w:val="TextBody"/>
        <w:bidi w:val="0"/>
        <w:spacing w:before="0" w:after="0"/>
        <w:jc w:val="right"/>
        <w:rPr>
          <w:rFonts w:ascii="Times New Roman" w:hAnsi="Times New Roman"/>
          <w:b/>
          <w:sz w:val="20"/>
        </w:rPr>
      </w:pPr>
      <w:bookmarkStart w:id="33" w:name="d143488dex43.htm"/>
      <w:bookmarkStart w:id="34" w:name="ksd143488dex43"/>
      <w:bookmarkEnd w:id="33"/>
      <w:bookmarkEnd w:id="34"/>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0" w:after="0"/>
        <w:jc w:val="center"/>
        <w:rPr>
          <w:rFonts w:ascii="Times New Roman" w:hAnsi="Times New Roman"/>
          <w:sz w:val="20"/>
        </w:rPr>
      </w:pPr>
      <w:r>
        <w:rPr>
          <w:rFonts w:ascii="Times New Roman" w:hAnsi="Times New Roman"/>
          <w:b/>
          <w:sz w:val="20"/>
        </w:rPr>
        <w:t>Iss</w:t>
      </w:r>
      <w:r>
        <w:rPr>
          <w:rFonts w:ascii="Times New Roman" w:hAnsi="Times New Roman"/>
          <w:sz w:val="20"/>
        </w:rPr>
        <w:t>u</w:t>
      </w:r>
      <w:r>
        <w:rPr>
          <w:rFonts w:ascii="Times New Roman" w:hAnsi="Times New Roman"/>
          <w:b/>
          <w:sz w:val="20"/>
        </w:rPr>
        <w:t>er</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9"/>
        <w:gridCol w:w="147"/>
        <w:gridCol w:w="7816"/>
        <w:gridCol w:w="147"/>
        <w:gridCol w:w="110"/>
        <w:gridCol w:w="481"/>
        <w:gridCol w:w="65"/>
      </w:tblGrid>
      <w:tr>
        <w:trPr/>
        <w:tc>
          <w:tcPr>
            <w:tcW w:w="1439"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3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w:t>
            </w:r>
            <w:r>
              <w:rPr>
                <w:b/>
                <w:sz w:val="20"/>
              </w:rPr>
              <w:t>AGE</w:t>
            </w:r>
          </w:p>
        </w:tc>
        <w:tc>
          <w:tcPr>
            <w:tcW w:w="65"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1439" w:type="dxa"/>
            <w:tcBorders/>
            <w:vAlign w:val="center"/>
          </w:tcPr>
          <w:p>
            <w:pPr>
              <w:pStyle w:val="TableContents"/>
              <w:bidi w:val="0"/>
              <w:spacing w:before="0" w:after="283"/>
              <w:jc w:val="left"/>
              <w:rPr>
                <w:sz w:val="4"/>
                <w:szCs w:val="4"/>
              </w:rPr>
            </w:pPr>
            <w:r>
              <w:rPr>
                <w:sz w:val="4"/>
                <w:szCs w:val="4"/>
              </w:rPr>
            </w:r>
          </w:p>
        </w:tc>
        <w:tc>
          <w:tcPr>
            <w:tcW w:w="7963"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Definitions of Terms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rHeight w:val="120" w:hRule="atLeast"/>
        </w:trPr>
        <w:tc>
          <w:tcPr>
            <w:tcW w:w="1439" w:type="dxa"/>
            <w:tcBorders/>
            <w:vAlign w:val="center"/>
          </w:tcPr>
          <w:p>
            <w:pPr>
              <w:pStyle w:val="TableContents"/>
              <w:bidi w:val="0"/>
              <w:spacing w:before="0" w:after="283"/>
              <w:jc w:val="left"/>
              <w:rPr>
                <w:sz w:val="4"/>
                <w:szCs w:val="4"/>
              </w:rPr>
            </w:pPr>
            <w:r>
              <w:rPr>
                <w:sz w:val="4"/>
                <w:szCs w:val="4"/>
              </w:rPr>
            </w:r>
          </w:p>
        </w:tc>
        <w:tc>
          <w:tcPr>
            <w:tcW w:w="7963"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Designation and Terms of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Form of Securities and Trustee’s Certificate</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Denominations: Provisions for Payment</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Execution and Authentications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Registration of Transfer and Exchange</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Temporary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Mutilated, Destroyed, Lost or Stolen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Cancellation</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Benefits of Indenture</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Authenticating Agent</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Global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CUSIP Numbers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1439" w:type="dxa"/>
            <w:tcBorders/>
            <w:vAlign w:val="center"/>
          </w:tcPr>
          <w:p>
            <w:pPr>
              <w:pStyle w:val="TableContents"/>
              <w:bidi w:val="0"/>
              <w:spacing w:before="0" w:after="283"/>
              <w:jc w:val="left"/>
              <w:rPr>
                <w:sz w:val="4"/>
                <w:szCs w:val="4"/>
              </w:rPr>
            </w:pPr>
            <w:r>
              <w:rPr>
                <w:sz w:val="4"/>
                <w:szCs w:val="4"/>
              </w:rPr>
            </w:r>
          </w:p>
        </w:tc>
        <w:tc>
          <w:tcPr>
            <w:tcW w:w="7963"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Redemption</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Notice of Redemption</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Payment Upon Redemption</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Sinking Fund</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Satisfaction of Sinking Fund Payments with Securities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Redemption of Securities for Sinking Fund</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rHeight w:val="120" w:hRule="atLeast"/>
        </w:trPr>
        <w:tc>
          <w:tcPr>
            <w:tcW w:w="1439" w:type="dxa"/>
            <w:tcBorders/>
            <w:vAlign w:val="center"/>
          </w:tcPr>
          <w:p>
            <w:pPr>
              <w:pStyle w:val="TableContents"/>
              <w:bidi w:val="0"/>
              <w:spacing w:before="0" w:after="283"/>
              <w:jc w:val="left"/>
              <w:rPr>
                <w:sz w:val="4"/>
                <w:szCs w:val="4"/>
              </w:rPr>
            </w:pPr>
            <w:r>
              <w:rPr>
                <w:sz w:val="4"/>
                <w:szCs w:val="4"/>
              </w:rPr>
            </w:r>
          </w:p>
        </w:tc>
        <w:tc>
          <w:tcPr>
            <w:tcW w:w="7963"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Payment of Principal, Premium and Interest</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Maintenance of Office or Agency</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Paying Agents</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1439"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47" w:type="dxa"/>
            <w:tcBorders/>
            <w:vAlign w:val="bottom"/>
          </w:tcPr>
          <w:p>
            <w:pPr>
              <w:pStyle w:val="TableContents"/>
              <w:bidi w:val="0"/>
              <w:spacing w:before="0" w:after="283"/>
              <w:jc w:val="left"/>
              <w:rPr/>
            </w:pPr>
            <w:r>
              <w:rPr/>
              <w:t>  </w:t>
            </w:r>
          </w:p>
        </w:tc>
        <w:tc>
          <w:tcPr>
            <w:tcW w:w="7816" w:type="dxa"/>
            <w:tcBorders/>
            <w:vAlign w:val="bottom"/>
          </w:tcPr>
          <w:p>
            <w:pPr>
              <w:pStyle w:val="TableContents"/>
              <w:bidi w:val="0"/>
              <w:spacing w:before="0" w:after="283"/>
              <w:jc w:val="left"/>
              <w:rPr/>
            </w:pPr>
            <w:r>
              <w:rPr/>
              <w:t>Appointment to Fill Vacancy in Office of Trustee</w:t>
            </w:r>
          </w:p>
        </w:tc>
        <w:tc>
          <w:tcPr>
            <w:tcW w:w="14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b/>
          <w:sz w:val="20"/>
        </w:rPr>
        <w:t>(CONTINUED)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1"/>
        <w:gridCol w:w="134"/>
        <w:gridCol w:w="8032"/>
        <w:gridCol w:w="134"/>
        <w:gridCol w:w="110"/>
        <w:gridCol w:w="480"/>
        <w:gridCol w:w="64"/>
      </w:tblGrid>
      <w:tr>
        <w:trPr/>
        <w:tc>
          <w:tcPr>
            <w:tcW w:w="125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51"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417" w:type="dxa"/>
            <w:gridSpan w:val="3"/>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94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251" w:type="dxa"/>
            <w:tcBorders/>
            <w:vAlign w:val="center"/>
          </w:tcPr>
          <w:p>
            <w:pPr>
              <w:pStyle w:val="TableContents"/>
              <w:bidi w:val="0"/>
              <w:spacing w:before="0" w:after="283"/>
              <w:jc w:val="left"/>
              <w:rPr>
                <w:sz w:val="4"/>
                <w:szCs w:val="4"/>
              </w:rPr>
            </w:pPr>
            <w:r>
              <w:rPr>
                <w:sz w:val="4"/>
                <w:szCs w:val="4"/>
              </w:rPr>
            </w:r>
          </w:p>
        </w:tc>
        <w:tc>
          <w:tcPr>
            <w:tcW w:w="8166" w:type="dxa"/>
            <w:gridSpan w:val="2"/>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Company to Furnish Trustee Names and Addresses of Securityholders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Preservation Of Information; Communications With Securityholders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Reports by the Company</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Reports by the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417" w:type="dxa"/>
            <w:gridSpan w:val="3"/>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94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251" w:type="dxa"/>
            <w:tcBorders/>
            <w:vAlign w:val="center"/>
          </w:tcPr>
          <w:p>
            <w:pPr>
              <w:pStyle w:val="TableContents"/>
              <w:bidi w:val="0"/>
              <w:spacing w:before="0" w:after="283"/>
              <w:jc w:val="left"/>
              <w:rPr>
                <w:sz w:val="4"/>
                <w:szCs w:val="4"/>
              </w:rPr>
            </w:pPr>
            <w:r>
              <w:rPr>
                <w:sz w:val="4"/>
                <w:szCs w:val="4"/>
              </w:rPr>
            </w:r>
          </w:p>
        </w:tc>
        <w:tc>
          <w:tcPr>
            <w:tcW w:w="8166" w:type="dxa"/>
            <w:gridSpan w:val="2"/>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Events of Default</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Collection of Indebtedness and Suits for Enforcement by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Application of Moneys Collected</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Limitation on Suits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Rights and Remedies Cumulative; Delay or Omission Not Waiver</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Control by Securityholders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Undertaking to Pay Costs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17" w:type="dxa"/>
            <w:gridSpan w:val="3"/>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94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251" w:type="dxa"/>
            <w:tcBorders/>
            <w:vAlign w:val="center"/>
          </w:tcPr>
          <w:p>
            <w:pPr>
              <w:pStyle w:val="TableContents"/>
              <w:bidi w:val="0"/>
              <w:spacing w:before="0" w:after="283"/>
              <w:jc w:val="left"/>
              <w:rPr>
                <w:sz w:val="4"/>
                <w:szCs w:val="4"/>
              </w:rPr>
            </w:pPr>
            <w:r>
              <w:rPr>
                <w:sz w:val="4"/>
                <w:szCs w:val="4"/>
              </w:rPr>
            </w:r>
          </w:p>
        </w:tc>
        <w:tc>
          <w:tcPr>
            <w:tcW w:w="8166" w:type="dxa"/>
            <w:gridSpan w:val="2"/>
            <w:tcBorders/>
            <w:vAlign w:val="center"/>
          </w:tcPr>
          <w:p>
            <w:pPr>
              <w:pStyle w:val="TableContents"/>
              <w:bidi w:val="0"/>
              <w:spacing w:before="0" w:after="283"/>
              <w:jc w:val="left"/>
              <w:rPr>
                <w:sz w:val="4"/>
                <w:szCs w:val="4"/>
              </w:rPr>
            </w:pPr>
            <w:r>
              <w:rPr>
                <w:sz w:val="4"/>
                <w:szCs w:val="4"/>
              </w:rPr>
            </w:r>
          </w:p>
        </w:tc>
        <w:tc>
          <w:tcPr>
            <w:tcW w:w="788" w:type="dxa"/>
            <w:gridSpan w:val="4"/>
            <w:tcBorders/>
            <w:vAlign w:val="center"/>
          </w:tcPr>
          <w:p>
            <w:pPr>
              <w:pStyle w:val="TableContents"/>
              <w:bidi w:val="0"/>
              <w:spacing w:before="0" w:after="283"/>
              <w:jc w:val="left"/>
              <w:rPr>
                <w:sz w:val="4"/>
                <w:szCs w:val="4"/>
              </w:rPr>
            </w:pPr>
            <w:r>
              <w:rPr>
                <w:sz w:val="4"/>
                <w:szCs w:val="4"/>
              </w:rPr>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Certain Duties and Responsibilities of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Certain Rights of Trustee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Trustee Not Responsible for Recitals or Issuance or Securities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May Hold Securities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Moneys Held in Trust</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Compensation and Reimbursement</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Reliance on Officer’s Certificate</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Disqualification; Conflicting Interests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Corporate Trustee Required; Eligibility</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Resignation and Removal; Appointment of Successor</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Acceptance of Appointment By Successor</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Merger, Conversion, Consolidation or Succession to Business</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Preferential Collection of Claims Against the Company</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251"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3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Notice of Default</w:t>
            </w:r>
          </w:p>
        </w:tc>
        <w:tc>
          <w:tcPr>
            <w:tcW w:w="13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3"/>
        <w:gridCol w:w="138"/>
        <w:gridCol w:w="7873"/>
        <w:gridCol w:w="138"/>
        <w:gridCol w:w="110"/>
        <w:gridCol w:w="480"/>
        <w:gridCol w:w="63"/>
      </w:tblGrid>
      <w:tr>
        <w:trPr/>
        <w:tc>
          <w:tcPr>
            <w:tcW w:w="140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787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0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Evidence of Action by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Proof of Execution by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Who May be Deemed Owners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Certain Securities Owned by Company Disregarded</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Actions Binding on Future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Supplemental Indentures Without the Consent of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Supplemental Indentures With Consent of Securityholders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Effect of Supplemental Indentures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Securities Affected by Supplemental Indentures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Execution of Supplemental Indentures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Company May Consolidate, Etc.</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Successor Entity Substituted</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Satisfaction and Discharge of Indenture</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Discharge of Obligations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Deposited Moneys to be Held in Trust</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Payment of Moneys Held by Paying Agents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Repayment to Company</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No Recourse</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414" w:type="dxa"/>
            <w:gridSpan w:val="3"/>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941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011" w:type="dxa"/>
            <w:gridSpan w:val="2"/>
            <w:tcBorders/>
            <w:vAlign w:val="center"/>
          </w:tcPr>
          <w:p>
            <w:pPr>
              <w:pStyle w:val="TableContents"/>
              <w:bidi w:val="0"/>
              <w:spacing w:before="0" w:after="283"/>
              <w:jc w:val="left"/>
              <w:rPr>
                <w:sz w:val="4"/>
                <w:szCs w:val="4"/>
              </w:rPr>
            </w:pPr>
            <w:r>
              <w:rPr>
                <w:sz w:val="4"/>
                <w:szCs w:val="4"/>
              </w:rPr>
            </w:r>
          </w:p>
        </w:tc>
        <w:tc>
          <w:tcPr>
            <w:tcW w:w="79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Effect on Successors and Assigns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Actions by Successor</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38" w:type="dxa"/>
            <w:tcBorders/>
            <w:vAlign w:val="bottom"/>
          </w:tcPr>
          <w:p>
            <w:pPr>
              <w:pStyle w:val="TableContents"/>
              <w:bidi w:val="0"/>
              <w:spacing w:before="0" w:after="283"/>
              <w:jc w:val="left"/>
              <w:rPr/>
            </w:pPr>
            <w:r>
              <w:rPr/>
              <w:t>  </w:t>
            </w:r>
          </w:p>
        </w:tc>
        <w:tc>
          <w:tcPr>
            <w:tcW w:w="7873" w:type="dxa"/>
            <w:tcBorders/>
            <w:vAlign w:val="bottom"/>
          </w:tcPr>
          <w:p>
            <w:pPr>
              <w:pStyle w:val="TableContents"/>
              <w:bidi w:val="0"/>
              <w:spacing w:before="0" w:after="283"/>
              <w:jc w:val="left"/>
              <w:rPr/>
            </w:pPr>
            <w:r>
              <w:rPr/>
              <w:t>Surrender of Company Powers</w:t>
            </w:r>
          </w:p>
        </w:tc>
        <w:tc>
          <w:tcPr>
            <w:tcW w:w="13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b/>
          <w:sz w:val="20"/>
        </w:rPr>
        <w:t>(CONTINUED)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2"/>
        <w:gridCol w:w="148"/>
        <w:gridCol w:w="7713"/>
        <w:gridCol w:w="148"/>
        <w:gridCol w:w="110"/>
        <w:gridCol w:w="481"/>
        <w:gridCol w:w="63"/>
      </w:tblGrid>
      <w:tr>
        <w:trPr/>
        <w:tc>
          <w:tcPr>
            <w:tcW w:w="154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71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7861"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Notices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Governing Law; Jury Trial Waiver</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Treatment of Securities as Debt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Certificates and Opinions as to Conditions Precedent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Payments on Business Days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Conflict with Trust Indenture Act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Counterparts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Separability</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Compliance Certificates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Patriot Act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Force Majeure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48" w:type="dxa"/>
            <w:tcBorders/>
            <w:vAlign w:val="bottom"/>
          </w:tcPr>
          <w:p>
            <w:pPr>
              <w:pStyle w:val="TableContents"/>
              <w:bidi w:val="0"/>
              <w:spacing w:before="0" w:after="283"/>
              <w:jc w:val="left"/>
              <w:rPr/>
            </w:pPr>
            <w:r>
              <w:rPr/>
              <w:t>  </w:t>
            </w:r>
          </w:p>
        </w:tc>
        <w:tc>
          <w:tcPr>
            <w:tcW w:w="7713" w:type="dxa"/>
            <w:tcBorders/>
            <w:vAlign w:val="bottom"/>
          </w:tcPr>
          <w:p>
            <w:pPr>
              <w:pStyle w:val="TableContents"/>
              <w:bidi w:val="0"/>
              <w:spacing w:before="0" w:after="283"/>
              <w:jc w:val="left"/>
              <w:rPr/>
            </w:pPr>
            <w:r>
              <w:rPr/>
              <w:t>Table of Contents; Headings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20__, among Kodiak Sciences Inc., a Delaware corporation (the “Company”), and[</w:t>
      </w:r>
      <w:r>
        <w:rPr>
          <w:rFonts w:ascii="Times New Roman" w:hAnsi="Times New Roman"/>
          <w:b/>
          <w:sz w:val="20"/>
        </w:rPr>
        <w:t>TRUSTEE</w:t>
      </w:r>
      <w:r>
        <w:rPr>
          <w:rFonts w:ascii="Times New Roman" w:hAnsi="Times New Roman"/>
          <w:sz w:val="20"/>
        </w:rPr>
        <w:t xml:space="preserve">], as trustee (the “Trustee”):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Kodiak Sciences Inc., a corporation duly organized and existing under the laws of the State of </w:t>
      </w:r>
      <w:r>
        <w:rPr>
          <w:rFonts w:ascii="Times New Roman" w:hAnsi="Times New Roman"/>
          <w:b/>
          <w:sz w:val="20"/>
        </w:rPr>
        <w:t>DELAWARE</w:t>
      </w:r>
      <w:r>
        <w:rPr>
          <w:rFonts w:ascii="Times New Roman" w:hAnsi="Times New Roman"/>
          <w:sz w:val="20"/>
        </w:rPr>
        <w:t xml:space="preserv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xml:space="preserve">”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maturity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applicability of any guarantees;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whether or not the Securities will be secured or unsecured, and the terms of any secured debt;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whether the Securities rank as senior debt, senior subordinated debt, subordinated debt or any combination thereof, and the terms of any subordination;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the Company’s right, if any, to defer the payment of interest and the maximum length of any such deferral period;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the denominations in which the Securities of the series shall be issuable, if other than denominations of one thousand U.S. dollars ($1,000) or any integral multiple thereof;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additions to or changes in the covenants applicable to the series of Securities being issued, including, among others, the consolidation, merger or sale covenant;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additions to or changes in or deletions of the provisions relating to covenant defeasance and legal defeasance;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additions to or changes in the provisions relating to satisfaction and discharge of this Indenture;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additions to or changes in the provisions relating to the modification of this Indenture both with and without the consent of Securityholders of Securities issued under this Indenture;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the currency of payment of Securities if other than U.S. dollars and the manner of determining the equivalent amount in U.S. dollars;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rPr>
        <w:t>Form of Securities and Trustee</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b/>
          <w:sz w:val="20"/>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b/>
          <w:sz w:val="20"/>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xml:space="preserve"> </w:t>
      </w:r>
      <w:r>
        <w:rPr>
          <w:rFonts w:ascii="Times New Roman" w:hAnsi="Times New Roman"/>
          <w:b/>
          <w:sz w:val="20"/>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w:t>
      </w:r>
      <w:r>
        <w:rPr>
          <w:rFonts w:ascii="Times New Roman" w:hAnsi="Times New Roman"/>
          <w:b/>
          <w:sz w:val="20"/>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w:t>
      </w:r>
      <w:r>
        <w:rPr>
          <w:rFonts w:ascii="Times New Roman" w:hAnsi="Times New Roman"/>
          <w:b/>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b/>
          <w:sz w:val="20"/>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r>
        <w:rPr>
          <w:rFonts w:ascii="Times New Roman" w:hAnsi="Times New Roman"/>
          <w:b/>
          <w:sz w:val="20"/>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w:t>
      </w:r>
      <w:r>
        <w:rPr>
          <w:rFonts w:ascii="Times New Roman" w:hAnsi="Times New Roman"/>
          <w:b/>
          <w:sz w:val="20"/>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w:t>
      </w:r>
      <w:r>
        <w:rPr>
          <w:rFonts w:ascii="Times New Roman" w:hAnsi="Times New Roman"/>
          <w:b/>
          <w:sz w:val="20"/>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Trustee shall not be required to give any bond or surety in respect of the performance of its powers or duties hereunder;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The permissive right of the Trustee to do things enumerated in this Indenture shall not be construed as a duty of the Trustee; and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w:t>
      </w:r>
      <w:r>
        <w:rPr>
          <w:rFonts w:ascii="Times New Roman" w:hAnsi="Times New Roman"/>
          <w:b/>
          <w:sz w:val="20"/>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r>
        <w:rPr>
          <w:rFonts w:ascii="Times New Roman" w:hAnsi="Times New Roman"/>
          <w:b/>
          <w:sz w:val="20"/>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t>
      </w:r>
      <w:r>
        <w:rPr>
          <w:rFonts w:ascii="Times New Roman" w:hAnsi="Times New Roman"/>
          <w:b/>
          <w:sz w:val="20"/>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w:t>
      </w:r>
      <w:r>
        <w:rPr>
          <w:rFonts w:ascii="Times New Roman" w:hAnsi="Times New Roman"/>
          <w:b/>
          <w:sz w:val="20"/>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w:t>
      </w:r>
      <w:r>
        <w:rPr>
          <w:rFonts w:ascii="Times New Roman" w:hAnsi="Times New Roman"/>
          <w:b/>
          <w:sz w:val="20"/>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r>
        <w:rPr>
          <w:rFonts w:ascii="Times New Roman" w:hAnsi="Times New Roman"/>
          <w:b/>
          <w:sz w:val="20"/>
        </w:rPr>
        <w:t>Reliance on Officer</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w:t>
      </w:r>
      <w:r>
        <w:rPr>
          <w:rFonts w:ascii="Times New Roman" w:hAnsi="Times New Roman"/>
          <w:b/>
          <w:sz w:val="20"/>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w:t>
      </w:r>
      <w:r>
        <w:rPr>
          <w:rFonts w:ascii="Times New Roman" w:hAnsi="Times New Roman"/>
          <w:b/>
          <w:sz w:val="20"/>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w:t>
      </w:r>
      <w:r>
        <w:rPr>
          <w:rFonts w:ascii="Times New Roman" w:hAnsi="Times New Roman"/>
          <w:b/>
          <w:sz w:val="20"/>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w:t>
      </w:r>
      <w:r>
        <w:rPr>
          <w:rFonts w:ascii="Times New Roman" w:hAnsi="Times New Roman"/>
          <w:b/>
          <w:sz w:val="20"/>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b/>
          <w:sz w:val="20"/>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b/>
          <w:sz w:val="20"/>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b/>
          <w:sz w:val="20"/>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xml:space="preserve"> </w:t>
      </w:r>
      <w:r>
        <w:rPr>
          <w:rFonts w:ascii="Times New Roman" w:hAnsi="Times New Roman"/>
          <w:b/>
          <w:sz w:val="20"/>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t>
      </w:r>
      <w:r>
        <w:rPr>
          <w:rFonts w:ascii="Times New Roman" w:hAnsi="Times New Roman"/>
          <w:b/>
          <w:sz w:val="20"/>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comply with Article Ten;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comply with any requirements of the Commission or any successor in connection with the qualification of this Indenture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r>
        <w:rPr>
          <w:rFonts w:ascii="Times New Roman" w:hAnsi="Times New Roman"/>
          <w:b/>
          <w:sz w:val="20"/>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r>
        <w:rPr>
          <w:rFonts w:ascii="Times New Roman" w:hAnsi="Times New Roman"/>
          <w:b/>
          <w:sz w:val="20"/>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Company May Consolidate, Etc.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w:t>
      </w:r>
      <w:r>
        <w:rPr>
          <w:rFonts w:ascii="Times New Roman" w:hAnsi="Times New Roman"/>
          <w:b/>
          <w:sz w:val="20"/>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r>
        <w:rPr>
          <w:rFonts w:ascii="Times New Roman" w:hAnsi="Times New Roman"/>
          <w:b/>
          <w:sz w:val="20"/>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r>
        <w:rPr>
          <w:rFonts w:ascii="Times New Roman" w:hAnsi="Times New Roman"/>
          <w:b/>
          <w:sz w:val="20"/>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w:t>
      </w:r>
      <w:r>
        <w:rPr>
          <w:rFonts w:ascii="Times New Roman" w:hAnsi="Times New Roman"/>
          <w:sz w:val="20"/>
        </w:rPr>
        <w:t xml:space="preserve"> </w:t>
      </w:r>
      <w:r>
        <w:rPr>
          <w:rFonts w:ascii="Times New Roman" w:hAnsi="Times New Roman"/>
          <w:b/>
          <w:sz w:val="20"/>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w:t>
      </w:r>
      <w:r>
        <w:rPr>
          <w:rFonts w:ascii="Times New Roman" w:hAnsi="Times New Roman"/>
          <w:b/>
          <w:sz w:val="20"/>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t>
      </w:r>
      <w:r>
        <w:rPr>
          <w:rFonts w:ascii="Times New Roman" w:hAnsi="Times New Roman"/>
          <w:b/>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r>
        <w:rPr>
          <w:rFonts w:ascii="Times New Roman" w:hAnsi="Times New Roman"/>
          <w:b/>
          <w:sz w:val="20"/>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xml:space="preserve"> </w:t>
      </w:r>
      <w:r>
        <w:rPr>
          <w:rFonts w:ascii="Times New Roman" w:hAnsi="Times New Roman"/>
          <w:b/>
          <w:sz w:val="20"/>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w:t>
      </w:r>
      <w:r>
        <w:rPr>
          <w:rFonts w:ascii="Times New Roman" w:hAnsi="Times New Roman"/>
          <w:sz w:val="20"/>
        </w:rPr>
        <w:t xml:space="preserve"> </w:t>
      </w:r>
      <w:r>
        <w:rPr>
          <w:rFonts w:ascii="Times New Roman" w:hAnsi="Times New Roman"/>
          <w:b/>
          <w:sz w:val="20"/>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rFonts w:ascii="Times New Roman" w:hAnsi="Times New Roman"/>
          <w:sz w:val="20"/>
          <w:u w:val="single"/>
        </w:rPr>
        <w:t>               </w:t>
      </w:r>
      <w:r>
        <w:rPr>
          <w:rFonts w:ascii="Times New Roman" w:hAnsi="Times New Roman"/>
          <w:sz w:val="20"/>
        </w:rPr>
        <w:t xml:space="preserve">.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w:t>
      </w:r>
      <w:r>
        <w:rPr>
          <w:rFonts w:ascii="Times New Roman" w:hAnsi="Times New Roman"/>
          <w:sz w:val="20"/>
        </w:rPr>
        <w:t xml:space="preserve"> </w:t>
      </w:r>
      <w:r>
        <w:rPr>
          <w:rFonts w:ascii="Times New Roman" w:hAnsi="Times New Roman"/>
          <w:b/>
          <w:sz w:val="20"/>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13.06</w:t>
      </w:r>
      <w:r>
        <w:rPr>
          <w:rFonts w:ascii="Times New Roman" w:hAnsi="Times New Roman"/>
          <w:sz w:val="20"/>
        </w:rPr>
        <w:t xml:space="preserve"> </w:t>
      </w:r>
      <w:r>
        <w:rPr>
          <w:rFonts w:ascii="Times New Roman" w:hAnsi="Times New Roman"/>
          <w:b/>
          <w:sz w:val="20"/>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13.07</w:t>
      </w:r>
      <w:r>
        <w:rPr>
          <w:rFonts w:ascii="Times New Roman" w:hAnsi="Times New Roman"/>
          <w:sz w:val="20"/>
        </w:rPr>
        <w:t xml:space="preserve"> </w:t>
      </w:r>
      <w:r>
        <w:rPr>
          <w:rFonts w:ascii="Times New Roman" w:hAnsi="Times New Roman"/>
          <w:b/>
          <w:sz w:val="20"/>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13.08</w:t>
      </w:r>
      <w:r>
        <w:rPr>
          <w:rFonts w:ascii="Times New Roman" w:hAnsi="Times New Roman"/>
          <w:sz w:val="20"/>
        </w:rPr>
        <w:t xml:space="preserve"> </w:t>
      </w:r>
      <w:r>
        <w:rPr>
          <w:rFonts w:ascii="Times New Roman" w:hAnsi="Times New Roman"/>
          <w:b/>
          <w:sz w:val="20"/>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13.09</w:t>
      </w:r>
      <w:r>
        <w:rPr>
          <w:rFonts w:ascii="Times New Roman" w:hAnsi="Times New Roman"/>
          <w:sz w:val="20"/>
        </w:rPr>
        <w:t xml:space="preserve"> </w:t>
      </w:r>
      <w:r>
        <w:rPr>
          <w:rFonts w:ascii="Times New Roman" w:hAnsi="Times New Roman"/>
          <w:b/>
          <w:sz w:val="20"/>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13.11</w:t>
      </w:r>
      <w:r>
        <w:rPr>
          <w:rFonts w:ascii="Times New Roman" w:hAnsi="Times New Roman"/>
          <w:sz w:val="20"/>
        </w:rPr>
        <w:t xml:space="preserve"> </w:t>
      </w:r>
      <w:r>
        <w:rPr>
          <w:rFonts w:ascii="Times New Roman" w:hAnsi="Times New Roman"/>
          <w:b/>
          <w:sz w:val="20"/>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13.12</w:t>
      </w:r>
      <w:r>
        <w:rPr>
          <w:rFonts w:ascii="Times New Roman" w:hAnsi="Times New Roman"/>
          <w:sz w:val="20"/>
        </w:rPr>
        <w:t xml:space="preserve"> </w:t>
      </w:r>
      <w:r>
        <w:rPr>
          <w:rFonts w:ascii="Times New Roman" w:hAnsi="Times New Roman"/>
          <w:b/>
          <w:sz w:val="20"/>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13.13</w:t>
      </w:r>
      <w:r>
        <w:rPr>
          <w:rFonts w:ascii="Times New Roman" w:hAnsi="Times New Roman"/>
          <w:sz w:val="20"/>
        </w:rPr>
        <w:t xml:space="preserve"> </w:t>
      </w:r>
      <w:r>
        <w:rPr>
          <w:rFonts w:ascii="Times New Roman" w:hAnsi="Times New Roman"/>
          <w:b/>
          <w:sz w:val="20"/>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13.14</w:t>
      </w:r>
      <w:r>
        <w:rPr>
          <w:rFonts w:ascii="Times New Roman" w:hAnsi="Times New Roman"/>
          <w:sz w:val="20"/>
        </w:rPr>
        <w:t xml:space="preserve"> </w:t>
      </w:r>
      <w:r>
        <w:rPr>
          <w:rFonts w:ascii="Times New Roman" w:hAnsi="Times New Roman"/>
          <w:b/>
          <w:sz w:val="20"/>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13.15 Table of Contents; Headings.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49"/>
        <w:gridCol w:w="85"/>
        <w:gridCol w:w="3048"/>
      </w:tblGrid>
      <w:tr>
        <w:trPr/>
        <w:tc>
          <w:tcPr>
            <w:tcW w:w="94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w:t>
            </w:r>
            <w:r>
              <w:rPr>
                <w:b/>
                <w:sz w:val="20"/>
              </w:rPr>
              <w:t>ODIAK</w:t>
            </w:r>
            <w:r>
              <w:rPr>
                <w:b/>
              </w:rPr>
              <w:t xml:space="preserve"> S</w:t>
            </w:r>
            <w:r>
              <w:rPr>
                <w:b/>
                <w:sz w:val="20"/>
              </w:rPr>
              <w:t>CIENCES</w:t>
            </w:r>
            <w:r>
              <w:rPr>
                <w:b/>
              </w:rPr>
              <w:t xml:space="preserve"> I</w:t>
            </w:r>
            <w:r>
              <w:rPr>
                <w:b/>
                <w:sz w:val="20"/>
              </w:rPr>
              <w:t>NC</w:t>
            </w:r>
            <w:r>
              <w:rPr>
                <w:b/>
              </w:rPr>
              <w:t>.</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133"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Title: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b/>
                <w:sz w:val="20"/>
              </w:rPr>
              <w:t xml:space="preserve">[TRUSTEE], </w:t>
            </w:r>
            <w:r>
              <w:rPr>
                <w:rFonts w:ascii="Times New Roman" w:hAnsi="Times New Roman"/>
                <w:sz w:val="20"/>
              </w:rPr>
              <w:t>as Trustee</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133"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Title:</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4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204"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8368" w:type="dxa"/>
            <w:tcBorders/>
          </w:tcPr>
          <w:p>
            <w:pPr>
              <w:pStyle w:val="TableContents"/>
              <w:bidi w:val="0"/>
              <w:spacing w:before="0" w:after="283"/>
              <w:jc w:val="left"/>
              <w:rPr/>
            </w:pPr>
            <w:r>
              <w:rPr/>
              <w:t>310(a)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7.09</w:t>
            </w:r>
          </w:p>
        </w:tc>
      </w:tr>
      <w:tr>
        <w:trPr/>
        <w:tc>
          <w:tcPr>
            <w:tcW w:w="8368" w:type="dxa"/>
            <w:tcBorders/>
          </w:tcPr>
          <w:p>
            <w:pPr>
              <w:pStyle w:val="TableContents"/>
              <w:bidi w:val="0"/>
              <w:spacing w:before="0" w:after="283"/>
              <w:jc w:val="left"/>
              <w:rPr/>
            </w:pPr>
            <w:r>
              <w:rPr/>
              <w:t>310(b)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7.08</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7.10</w:t>
            </w:r>
          </w:p>
        </w:tc>
      </w:tr>
      <w:tr>
        <w:trPr/>
        <w:tc>
          <w:tcPr>
            <w:tcW w:w="8368" w:type="dxa"/>
            <w:tcBorders/>
          </w:tcPr>
          <w:p>
            <w:pPr>
              <w:pStyle w:val="TableContents"/>
              <w:bidi w:val="0"/>
              <w:spacing w:before="0" w:after="283"/>
              <w:jc w:val="left"/>
              <w:rPr/>
            </w:pPr>
            <w:r>
              <w:rPr/>
              <w:t>310(c)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Inapplicable</w:t>
            </w:r>
          </w:p>
        </w:tc>
      </w:tr>
      <w:tr>
        <w:trPr/>
        <w:tc>
          <w:tcPr>
            <w:tcW w:w="8368" w:type="dxa"/>
            <w:tcBorders/>
          </w:tcPr>
          <w:p>
            <w:pPr>
              <w:pStyle w:val="TableContents"/>
              <w:bidi w:val="0"/>
              <w:spacing w:before="0" w:after="283"/>
              <w:jc w:val="left"/>
              <w:rPr/>
            </w:pPr>
            <w:r>
              <w:rPr/>
              <w:t>311(a)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7.13</w:t>
            </w:r>
          </w:p>
        </w:tc>
      </w:tr>
      <w:tr>
        <w:trPr/>
        <w:tc>
          <w:tcPr>
            <w:tcW w:w="8368" w:type="dxa"/>
            <w:tcBorders/>
          </w:tcPr>
          <w:p>
            <w:pPr>
              <w:pStyle w:val="TableContents"/>
              <w:bidi w:val="0"/>
              <w:spacing w:before="0" w:after="283"/>
              <w:jc w:val="left"/>
              <w:rPr/>
            </w:pPr>
            <w:r>
              <w:rPr/>
              <w:t>311(b)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7.13</w:t>
            </w:r>
          </w:p>
        </w:tc>
      </w:tr>
      <w:tr>
        <w:trPr/>
        <w:tc>
          <w:tcPr>
            <w:tcW w:w="8368" w:type="dxa"/>
            <w:tcBorders/>
          </w:tcPr>
          <w:p>
            <w:pPr>
              <w:pStyle w:val="TableContents"/>
              <w:bidi w:val="0"/>
              <w:spacing w:before="0" w:after="283"/>
              <w:jc w:val="left"/>
              <w:rPr/>
            </w:pPr>
            <w:r>
              <w:rPr/>
              <w:t>311(c)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Inapplicable</w:t>
            </w:r>
          </w:p>
        </w:tc>
      </w:tr>
      <w:tr>
        <w:trPr/>
        <w:tc>
          <w:tcPr>
            <w:tcW w:w="8368" w:type="dxa"/>
            <w:tcBorders/>
          </w:tcPr>
          <w:p>
            <w:pPr>
              <w:pStyle w:val="TableContents"/>
              <w:bidi w:val="0"/>
              <w:spacing w:before="0" w:after="283"/>
              <w:jc w:val="left"/>
              <w:rPr/>
            </w:pPr>
            <w:r>
              <w:rPr/>
              <w:t>312(a)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5.01</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5.02(a)</w:t>
            </w:r>
          </w:p>
        </w:tc>
      </w:tr>
      <w:tr>
        <w:trPr/>
        <w:tc>
          <w:tcPr>
            <w:tcW w:w="8368" w:type="dxa"/>
            <w:tcBorders/>
          </w:tcPr>
          <w:p>
            <w:pPr>
              <w:pStyle w:val="TableContents"/>
              <w:bidi w:val="0"/>
              <w:spacing w:before="0" w:after="283"/>
              <w:jc w:val="left"/>
              <w:rPr/>
            </w:pPr>
            <w:r>
              <w:rPr/>
              <w:t>312(b)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5.02(c)</w:t>
            </w:r>
          </w:p>
        </w:tc>
      </w:tr>
      <w:tr>
        <w:trPr/>
        <w:tc>
          <w:tcPr>
            <w:tcW w:w="8368" w:type="dxa"/>
            <w:tcBorders/>
          </w:tcPr>
          <w:p>
            <w:pPr>
              <w:pStyle w:val="TableContents"/>
              <w:bidi w:val="0"/>
              <w:spacing w:before="0" w:after="283"/>
              <w:jc w:val="left"/>
              <w:rPr/>
            </w:pPr>
            <w:r>
              <w:rPr/>
              <w:t>312(c)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5.02(c)</w:t>
            </w:r>
          </w:p>
        </w:tc>
      </w:tr>
      <w:tr>
        <w:trPr/>
        <w:tc>
          <w:tcPr>
            <w:tcW w:w="8368" w:type="dxa"/>
            <w:tcBorders/>
          </w:tcPr>
          <w:p>
            <w:pPr>
              <w:pStyle w:val="TableContents"/>
              <w:bidi w:val="0"/>
              <w:spacing w:before="0" w:after="283"/>
              <w:jc w:val="left"/>
              <w:rPr/>
            </w:pPr>
            <w:r>
              <w:rPr/>
              <w:t>313(a)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5.04(a)</w:t>
            </w:r>
          </w:p>
        </w:tc>
      </w:tr>
      <w:tr>
        <w:trPr/>
        <w:tc>
          <w:tcPr>
            <w:tcW w:w="8368" w:type="dxa"/>
            <w:tcBorders/>
          </w:tcPr>
          <w:p>
            <w:pPr>
              <w:pStyle w:val="TableContents"/>
              <w:bidi w:val="0"/>
              <w:spacing w:before="0" w:after="283"/>
              <w:jc w:val="left"/>
              <w:rPr/>
            </w:pPr>
            <w:r>
              <w:rPr/>
              <w:t>313(b)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5.04(b)</w:t>
            </w:r>
          </w:p>
        </w:tc>
      </w:tr>
      <w:tr>
        <w:trPr/>
        <w:tc>
          <w:tcPr>
            <w:tcW w:w="8368" w:type="dxa"/>
            <w:tcBorders/>
          </w:tcPr>
          <w:p>
            <w:pPr>
              <w:pStyle w:val="TableContents"/>
              <w:bidi w:val="0"/>
              <w:spacing w:before="0" w:after="283"/>
              <w:jc w:val="left"/>
              <w:rPr/>
            </w:pPr>
            <w:r>
              <w:rPr/>
              <w:t>313(c)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5.04(a)</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5.04(b)</w:t>
            </w:r>
          </w:p>
        </w:tc>
      </w:tr>
      <w:tr>
        <w:trPr/>
        <w:tc>
          <w:tcPr>
            <w:tcW w:w="8368" w:type="dxa"/>
            <w:tcBorders/>
          </w:tcPr>
          <w:p>
            <w:pPr>
              <w:pStyle w:val="TableContents"/>
              <w:bidi w:val="0"/>
              <w:spacing w:before="0" w:after="283"/>
              <w:jc w:val="left"/>
              <w:rPr/>
            </w:pPr>
            <w:r>
              <w:rPr/>
              <w:t>313(d)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5.04(c)</w:t>
            </w:r>
          </w:p>
        </w:tc>
      </w:tr>
      <w:tr>
        <w:trPr/>
        <w:tc>
          <w:tcPr>
            <w:tcW w:w="8368" w:type="dxa"/>
            <w:tcBorders/>
          </w:tcPr>
          <w:p>
            <w:pPr>
              <w:pStyle w:val="TableContents"/>
              <w:bidi w:val="0"/>
              <w:spacing w:before="0" w:after="283"/>
              <w:jc w:val="left"/>
              <w:rPr/>
            </w:pPr>
            <w:r>
              <w:rPr/>
              <w:t>314(a)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5.03</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13.12</w:t>
            </w:r>
          </w:p>
        </w:tc>
      </w:tr>
      <w:tr>
        <w:trPr/>
        <w:tc>
          <w:tcPr>
            <w:tcW w:w="8368" w:type="dxa"/>
            <w:tcBorders/>
          </w:tcPr>
          <w:p>
            <w:pPr>
              <w:pStyle w:val="TableContents"/>
              <w:bidi w:val="0"/>
              <w:spacing w:before="0" w:after="283"/>
              <w:jc w:val="left"/>
              <w:rPr/>
            </w:pPr>
            <w:r>
              <w:rPr/>
              <w:t>314(b)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Inapplicable</w:t>
            </w:r>
          </w:p>
        </w:tc>
      </w:tr>
      <w:tr>
        <w:trPr/>
        <w:tc>
          <w:tcPr>
            <w:tcW w:w="8368" w:type="dxa"/>
            <w:tcBorders/>
          </w:tcPr>
          <w:p>
            <w:pPr>
              <w:pStyle w:val="TableContents"/>
              <w:bidi w:val="0"/>
              <w:spacing w:before="0" w:after="283"/>
              <w:jc w:val="left"/>
              <w:rPr/>
            </w:pPr>
            <w:r>
              <w:rPr/>
              <w:t>314(c)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13.07(a)</w:t>
            </w:r>
          </w:p>
        </w:tc>
      </w:tr>
      <w:tr>
        <w:trPr/>
        <w:tc>
          <w:tcPr>
            <w:tcW w:w="8368" w:type="dxa"/>
            <w:tcBorders/>
          </w:tcPr>
          <w:p>
            <w:pPr>
              <w:pStyle w:val="TableContents"/>
              <w:bidi w:val="0"/>
              <w:spacing w:before="0" w:after="283"/>
              <w:jc w:val="left"/>
              <w:rPr/>
            </w:pPr>
            <w:r>
              <w:rPr/>
              <w:t>314(d)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Inapplicable</w:t>
            </w:r>
          </w:p>
        </w:tc>
      </w:tr>
      <w:tr>
        <w:trPr/>
        <w:tc>
          <w:tcPr>
            <w:tcW w:w="8368" w:type="dxa"/>
            <w:tcBorders/>
          </w:tcPr>
          <w:p>
            <w:pPr>
              <w:pStyle w:val="TableContents"/>
              <w:bidi w:val="0"/>
              <w:spacing w:before="0" w:after="283"/>
              <w:jc w:val="left"/>
              <w:rPr/>
            </w:pPr>
            <w:r>
              <w:rPr/>
              <w:t>314(e)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13.07(b)</w:t>
            </w:r>
          </w:p>
        </w:tc>
      </w:tr>
      <w:tr>
        <w:trPr/>
        <w:tc>
          <w:tcPr>
            <w:tcW w:w="8368" w:type="dxa"/>
            <w:tcBorders/>
          </w:tcPr>
          <w:p>
            <w:pPr>
              <w:pStyle w:val="TableContents"/>
              <w:bidi w:val="0"/>
              <w:spacing w:before="0" w:after="283"/>
              <w:jc w:val="left"/>
              <w:rPr/>
            </w:pPr>
            <w:r>
              <w:rPr/>
              <w:t>314(f)</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Inapplicable</w:t>
            </w:r>
          </w:p>
        </w:tc>
      </w:tr>
      <w:tr>
        <w:trPr/>
        <w:tc>
          <w:tcPr>
            <w:tcW w:w="8368" w:type="dxa"/>
            <w:tcBorders/>
          </w:tcPr>
          <w:p>
            <w:pPr>
              <w:pStyle w:val="TableContents"/>
              <w:bidi w:val="0"/>
              <w:spacing w:before="0" w:after="283"/>
              <w:jc w:val="left"/>
              <w:rPr/>
            </w:pPr>
            <w:r>
              <w:rPr/>
              <w:t>315(a)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7.01(a)</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7.01(b)</w:t>
            </w:r>
          </w:p>
        </w:tc>
      </w:tr>
      <w:tr>
        <w:trPr/>
        <w:tc>
          <w:tcPr>
            <w:tcW w:w="8368" w:type="dxa"/>
            <w:tcBorders/>
          </w:tcPr>
          <w:p>
            <w:pPr>
              <w:pStyle w:val="TableContents"/>
              <w:bidi w:val="0"/>
              <w:spacing w:before="0" w:after="283"/>
              <w:jc w:val="left"/>
              <w:rPr/>
            </w:pPr>
            <w:r>
              <w:rPr/>
              <w:t>315(b)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7.14</w:t>
            </w:r>
          </w:p>
        </w:tc>
      </w:tr>
      <w:tr>
        <w:trPr/>
        <w:tc>
          <w:tcPr>
            <w:tcW w:w="8368" w:type="dxa"/>
            <w:tcBorders/>
          </w:tcPr>
          <w:p>
            <w:pPr>
              <w:pStyle w:val="TableContents"/>
              <w:bidi w:val="0"/>
              <w:spacing w:before="0" w:after="283"/>
              <w:jc w:val="left"/>
              <w:rPr/>
            </w:pPr>
            <w:r>
              <w:rPr/>
              <w:t>315(c)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7.01</w:t>
            </w:r>
          </w:p>
        </w:tc>
      </w:tr>
      <w:tr>
        <w:trPr/>
        <w:tc>
          <w:tcPr>
            <w:tcW w:w="8368" w:type="dxa"/>
            <w:tcBorders/>
          </w:tcPr>
          <w:p>
            <w:pPr>
              <w:pStyle w:val="TableContents"/>
              <w:bidi w:val="0"/>
              <w:spacing w:before="0" w:after="283"/>
              <w:jc w:val="left"/>
              <w:rPr/>
            </w:pPr>
            <w:r>
              <w:rPr/>
              <w:t>315(d)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7.01(b)</w:t>
            </w:r>
          </w:p>
        </w:tc>
      </w:tr>
      <w:tr>
        <w:trPr/>
        <w:tc>
          <w:tcPr>
            <w:tcW w:w="8368" w:type="dxa"/>
            <w:tcBorders/>
          </w:tcPr>
          <w:p>
            <w:pPr>
              <w:pStyle w:val="TableContents"/>
              <w:bidi w:val="0"/>
              <w:spacing w:before="0" w:after="283"/>
              <w:jc w:val="left"/>
              <w:rPr/>
            </w:pPr>
            <w:r>
              <w:rPr/>
              <w:t>315(e)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6.07</w:t>
            </w:r>
          </w:p>
        </w:tc>
      </w:tr>
      <w:tr>
        <w:trPr/>
        <w:tc>
          <w:tcPr>
            <w:tcW w:w="8368" w:type="dxa"/>
            <w:tcBorders/>
          </w:tcPr>
          <w:p>
            <w:pPr>
              <w:pStyle w:val="TableContents"/>
              <w:bidi w:val="0"/>
              <w:spacing w:before="0" w:after="283"/>
              <w:jc w:val="left"/>
              <w:rPr/>
            </w:pPr>
            <w:r>
              <w:rPr/>
              <w:t>316(a)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6.06</w:t>
            </w:r>
          </w:p>
        </w:tc>
      </w:tr>
      <w:tr>
        <w:trPr/>
        <w:tc>
          <w:tcPr>
            <w:tcW w:w="8368"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8.04</w:t>
            </w:r>
          </w:p>
        </w:tc>
      </w:tr>
      <w:tr>
        <w:trPr/>
        <w:tc>
          <w:tcPr>
            <w:tcW w:w="8368" w:type="dxa"/>
            <w:tcBorders/>
          </w:tcPr>
          <w:p>
            <w:pPr>
              <w:pStyle w:val="TableContents"/>
              <w:bidi w:val="0"/>
              <w:spacing w:before="0" w:after="283"/>
              <w:jc w:val="left"/>
              <w:rPr/>
            </w:pPr>
            <w:r>
              <w:rPr/>
              <w:t>316(b)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6.04</w:t>
            </w:r>
          </w:p>
        </w:tc>
      </w:tr>
      <w:tr>
        <w:trPr/>
        <w:tc>
          <w:tcPr>
            <w:tcW w:w="8368" w:type="dxa"/>
            <w:tcBorders/>
          </w:tcPr>
          <w:p>
            <w:pPr>
              <w:pStyle w:val="TableContents"/>
              <w:bidi w:val="0"/>
              <w:spacing w:before="0" w:after="283"/>
              <w:jc w:val="left"/>
              <w:rPr/>
            </w:pPr>
            <w:r>
              <w:rPr/>
              <w:t>316(c)</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8.01</w:t>
            </w:r>
          </w:p>
        </w:tc>
      </w:tr>
      <w:tr>
        <w:trPr/>
        <w:tc>
          <w:tcPr>
            <w:tcW w:w="8368" w:type="dxa"/>
            <w:tcBorders/>
          </w:tcPr>
          <w:p>
            <w:pPr>
              <w:pStyle w:val="TableContents"/>
              <w:bidi w:val="0"/>
              <w:spacing w:before="0" w:after="283"/>
              <w:jc w:val="left"/>
              <w:rPr/>
            </w:pPr>
            <w:r>
              <w:rPr/>
              <w:t>317(a)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6.02</w:t>
            </w:r>
          </w:p>
        </w:tc>
      </w:tr>
      <w:tr>
        <w:trPr/>
        <w:tc>
          <w:tcPr>
            <w:tcW w:w="8368" w:type="dxa"/>
            <w:tcBorders/>
          </w:tcPr>
          <w:p>
            <w:pPr>
              <w:pStyle w:val="TableContents"/>
              <w:bidi w:val="0"/>
              <w:spacing w:before="0" w:after="283"/>
              <w:jc w:val="left"/>
              <w:rPr/>
            </w:pPr>
            <w:r>
              <w:rPr/>
              <w:t>317(b)</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4.03</w:t>
            </w:r>
          </w:p>
        </w:tc>
      </w:tr>
      <w:tr>
        <w:trPr/>
        <w:tc>
          <w:tcPr>
            <w:tcW w:w="8368" w:type="dxa"/>
            <w:tcBorders/>
          </w:tcPr>
          <w:p>
            <w:pPr>
              <w:pStyle w:val="TableContents"/>
              <w:bidi w:val="0"/>
              <w:spacing w:before="0" w:after="283"/>
              <w:jc w:val="left"/>
              <w:rPr/>
            </w:pPr>
            <w:r>
              <w:rPr/>
              <w:t>318(a)</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13.09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right"/>
        <w:rPr>
          <w:rFonts w:ascii="Times New Roman" w:hAnsi="Times New Roman"/>
          <w:b/>
          <w:sz w:val="20"/>
        </w:rPr>
      </w:pPr>
      <w:bookmarkStart w:id="35" w:name="d143488dex45.htm"/>
      <w:bookmarkStart w:id="36" w:name="ksd143488dex45"/>
      <w:bookmarkEnd w:id="35"/>
      <w:bookmarkEnd w:id="36"/>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FORM OF COMMON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COMMON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KODIAK 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[If Warrants are sold with other securities —[title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Common Stock of the Company, par value $0.0001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Common Stock (or any shares of stock or other securities at the time receivable upon the exercise of the Warrants) shall have received or become entitled to receive, without payment therefor,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share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Kodiak Sciences Inc., 1250 Page Mill Road, Palo Alto, California 94304, Attention: [] (or such other address as shall be specified in writing by the Warrant Agent or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01"/>
        <w:gridCol w:w="70"/>
        <w:gridCol w:w="2411"/>
      </w:tblGrid>
      <w:tr>
        <w:trPr/>
        <w:tc>
          <w:tcPr>
            <w:tcW w:w="1601"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Kodiak Sciences Inc., as Company</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2481"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pPr>
            <w:r>
              <w:rPr/>
              <w:t>Name: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pPr>
            <w:r>
              <w:rPr/>
              <w:t>Title: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2481"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b/>
              </w:rPr>
            </w:pPr>
            <w:r>
              <w:rPr>
                <w:b/>
              </w:rPr>
              <w:t>A</w:t>
            </w:r>
            <w:r>
              <w:rPr>
                <w:b/>
                <w:sz w:val="20"/>
              </w:rPr>
              <w:t>TTEST</w:t>
            </w:r>
            <w:r>
              <w:rPr>
                <w:b/>
              </w:rPr>
              <w:t>:</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sz w:val="4"/>
                <w:szCs w:val="4"/>
              </w:rPr>
            </w:pPr>
            <w:r>
              <w:rPr>
                <w:sz w:val="4"/>
                <w:szCs w:val="4"/>
              </w:rPr>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b/>
                <w:sz w:val="20"/>
              </w:rPr>
            </w:pPr>
            <w:r>
              <w:rPr>
                <w:rFonts w:ascii="Times New Roman" w:hAnsi="Times New Roman"/>
                <w:b/>
                <w:sz w:val="20"/>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2481"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pPr>
            <w:r>
              <w:rPr/>
              <w:t>Name: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pPr>
            <w:r>
              <w:rPr/>
              <w:t>Title: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2481"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b/>
              </w:rPr>
            </w:pPr>
            <w:r>
              <w:rPr>
                <w:b/>
              </w:rPr>
              <w:t>A</w:t>
            </w:r>
            <w:r>
              <w:rPr>
                <w:b/>
                <w:sz w:val="20"/>
              </w:rPr>
              <w:t>TTEST</w:t>
            </w:r>
            <w:r>
              <w:rPr>
                <w:b/>
              </w:rPr>
              <w:t>:</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r>
        <w:trPr/>
        <w:tc>
          <w:tcPr>
            <w:tcW w:w="1601" w:type="dxa"/>
            <w:tcBorders/>
          </w:tcPr>
          <w:p>
            <w:pPr>
              <w:pStyle w:val="TableContents"/>
              <w:bidi w:val="0"/>
              <w:spacing w:before="0" w:after="283"/>
              <w:jc w:val="left"/>
              <w:rPr>
                <w:sz w:val="4"/>
                <w:szCs w:val="4"/>
              </w:rPr>
            </w:pPr>
            <w:r>
              <w:rPr>
                <w:sz w:val="4"/>
                <w:szCs w:val="4"/>
              </w:rPr>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1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KODIAK SCIENCES INC. COMMON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Common Stock, par value $0.0001 per share (the “</w:t>
      </w:r>
      <w:r>
        <w:rPr>
          <w:rFonts w:ascii="Times New Roman" w:hAnsi="Times New Roman"/>
          <w:b/>
          <w:i/>
          <w:sz w:val="20"/>
        </w:rPr>
        <w:t>Warrant Securities</w:t>
      </w:r>
      <w:r>
        <w:rPr>
          <w:rFonts w:ascii="Times New Roman" w:hAnsi="Times New Roman"/>
          <w:sz w:val="20"/>
        </w:rPr>
        <w:t>”), of Kodiak Sciences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916"/>
        <w:gridCol w:w="69"/>
        <w:gridCol w:w="2097"/>
      </w:tblGrid>
      <w:tr>
        <w:trPr/>
        <w:tc>
          <w:tcPr>
            <w:tcW w:w="191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KODIAK SCIENCES INC.</w:t>
            </w:r>
            <w:r>
              <w:rPr>
                <w:rFonts w:ascii="Times New Roman" w:hAnsi="Times New Roman"/>
                <w:sz w:val="20"/>
              </w:rPr>
              <w:t>, as Company</w:t>
            </w:r>
          </w:p>
        </w:tc>
      </w:tr>
      <w:tr>
        <w:trPr>
          <w:trHeight w:val="240" w:hRule="atLeast"/>
        </w:trPr>
        <w:tc>
          <w:tcPr>
            <w:tcW w:w="1916" w:type="dxa"/>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pPr>
            <w:r>
              <w:rPr/>
              <w:t>Name: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pPr>
            <w:r>
              <w:rPr/>
              <w:t>Title: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916" w:type="dxa"/>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b/>
              </w:rPr>
            </w:pPr>
            <w:r>
              <w:rPr>
                <w:b/>
              </w:rPr>
              <w:t>ATTEST:</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sz w:val="4"/>
                <w:szCs w:val="4"/>
              </w:rPr>
            </w:pPr>
            <w:r>
              <w:rPr>
                <w:sz w:val="4"/>
                <w:szCs w:val="4"/>
              </w:rPr>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0"/>
              <w:jc w:val="left"/>
              <w:rPr>
                <w:rFonts w:ascii="Times New Roman" w:hAnsi="Times New Roman"/>
                <w:b/>
                <w:sz w:val="22"/>
              </w:rPr>
            </w:pPr>
            <w:r>
              <w:rPr>
                <w:rFonts w:ascii="Times New Roman" w:hAnsi="Times New Roman"/>
                <w:b/>
                <w:sz w:val="22"/>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916" w:type="dxa"/>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pPr>
            <w:r>
              <w:rPr/>
              <w:t>Name: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pPr>
            <w:r>
              <w:rPr/>
              <w:t>Title: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916" w:type="dxa"/>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1916" w:type="dxa"/>
            <w:tcBorders/>
          </w:tcPr>
          <w:p>
            <w:pPr>
              <w:pStyle w:val="TableContents"/>
              <w:bidi w:val="0"/>
              <w:spacing w:before="0" w:after="283"/>
              <w:jc w:val="left"/>
              <w:rPr>
                <w:b/>
              </w:rPr>
            </w:pPr>
            <w:r>
              <w:rPr>
                <w:b/>
              </w:rPr>
              <w:t>ATTEST:</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r>
        <w:trPr/>
        <w:tc>
          <w:tcPr>
            <w:tcW w:w="1916" w:type="dxa"/>
            <w:tcBorders/>
          </w:tcPr>
          <w:p>
            <w:pPr>
              <w:pStyle w:val="TableContents"/>
              <w:bidi w:val="0"/>
              <w:spacing w:before="0" w:after="283"/>
              <w:jc w:val="left"/>
              <w:rPr>
                <w:sz w:val="4"/>
                <w:szCs w:val="4"/>
              </w:rPr>
            </w:pPr>
            <w:r>
              <w:rPr>
                <w:sz w:val="4"/>
                <w:szCs w:val="4"/>
              </w:rPr>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097"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Common Stock, par value $0.0001 per share (the “</w:t>
      </w:r>
      <w:r>
        <w:rPr>
          <w:rFonts w:ascii="Times New Roman" w:hAnsi="Times New Roman"/>
          <w:b/>
          <w:i/>
          <w:sz w:val="20"/>
        </w:rPr>
        <w:t>Warrant Securities</w:t>
      </w:r>
      <w:r>
        <w:rPr>
          <w:rFonts w:ascii="Times New Roman" w:hAnsi="Times New Roman"/>
          <w:sz w:val="20"/>
        </w:rPr>
        <w:t xml:space="preserve">”), of Kodiak Sciences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Kodiak Sciences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8"/>
        <w:gridCol w:w="120"/>
        <w:gridCol w:w="5337"/>
      </w:tblGrid>
      <w:tr>
        <w:trPr/>
        <w:tc>
          <w:tcPr>
            <w:tcW w:w="47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37" w:type="dxa"/>
            <w:tcBorders/>
            <w:vAlign w:val="center"/>
          </w:tcPr>
          <w:p>
            <w:pPr>
              <w:pStyle w:val="TableContents"/>
              <w:bidi w:val="0"/>
              <w:spacing w:before="0" w:after="283"/>
              <w:jc w:val="left"/>
              <w:rPr>
                <w:sz w:val="4"/>
                <w:szCs w:val="4"/>
              </w:rPr>
            </w:pPr>
            <w:r>
              <w:rPr>
                <w:sz w:val="4"/>
                <w:szCs w:val="4"/>
              </w:rPr>
            </w:r>
          </w:p>
        </w:tc>
      </w:tr>
      <w:tr>
        <w:trPr/>
        <w:tc>
          <w:tcPr>
            <w:tcW w:w="4748" w:type="dxa"/>
            <w:tcBorders/>
          </w:tcPr>
          <w:p>
            <w:pPr>
              <w:pStyle w:val="TableContents"/>
              <w:bidi w:val="0"/>
              <w:spacing w:before="0" w:after="283"/>
              <w:jc w:val="left"/>
              <w:rPr/>
            </w:pPr>
            <w:r>
              <w:rPr/>
              <w:t>Dated: </w:t>
            </w:r>
            <w:r>
              <w:rPr>
                <w:u w:val="single"/>
              </w:rPr>
              <w:t>          </w:t>
            </w:r>
          </w:p>
        </w:tc>
        <w:tc>
          <w:tcPr>
            <w:tcW w:w="120" w:type="dxa"/>
            <w:tcBorders/>
            <w:vAlign w:val="bottom"/>
          </w:tcPr>
          <w:p>
            <w:pPr>
              <w:pStyle w:val="TableContents"/>
              <w:bidi w:val="0"/>
              <w:spacing w:before="0" w:after="283"/>
              <w:jc w:val="left"/>
              <w:rPr/>
            </w:pPr>
            <w:r>
              <w:rPr/>
              <w:t>  </w:t>
            </w:r>
          </w:p>
        </w:tc>
        <w:tc>
          <w:tcPr>
            <w:tcW w:w="5337" w:type="dxa"/>
            <w:tcBorders/>
          </w:tcPr>
          <w:p>
            <w:pPr>
              <w:pStyle w:val="TableContents"/>
              <w:bidi w:val="0"/>
              <w:spacing w:before="0" w:after="283"/>
              <w:jc w:val="left"/>
              <w:rPr/>
            </w:pPr>
            <w:r>
              <w:rPr/>
              <w:t>Name: </w:t>
            </w:r>
            <w:r>
              <w:rPr>
                <w:u w:val="single"/>
              </w:rPr>
              <w:t>                   </w:t>
            </w:r>
          </w:p>
        </w:tc>
      </w:tr>
      <w:tr>
        <w:trPr/>
        <w:tc>
          <w:tcPr>
            <w:tcW w:w="47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37" w:type="dxa"/>
            <w:tcBorders/>
          </w:tcPr>
          <w:p>
            <w:pPr>
              <w:pStyle w:val="TableContents"/>
              <w:bidi w:val="0"/>
              <w:spacing w:before="0" w:after="283"/>
              <w:jc w:val="center"/>
              <w:rPr/>
            </w:pPr>
            <w:r>
              <w:rPr/>
              <w:t>Please Print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1"/>
        <w:gridCol w:w="122"/>
        <w:gridCol w:w="4562"/>
      </w:tblGrid>
      <w:tr>
        <w:trPr/>
        <w:tc>
          <w:tcPr>
            <w:tcW w:w="552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62" w:type="dxa"/>
            <w:tcBorders/>
            <w:vAlign w:val="center"/>
          </w:tcPr>
          <w:p>
            <w:pPr>
              <w:pStyle w:val="TableContents"/>
              <w:bidi w:val="0"/>
              <w:spacing w:before="0" w:after="283"/>
              <w:jc w:val="left"/>
              <w:rPr>
                <w:sz w:val="4"/>
                <w:szCs w:val="4"/>
              </w:rPr>
            </w:pPr>
            <w:r>
              <w:rPr>
                <w:sz w:val="4"/>
                <w:szCs w:val="4"/>
              </w:rPr>
            </w:r>
          </w:p>
        </w:tc>
      </w:tr>
      <w:tr>
        <w:trPr/>
        <w:tc>
          <w:tcPr>
            <w:tcW w:w="5521"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2" w:type="dxa"/>
            <w:tcBorders/>
            <w:vAlign w:val="bottom"/>
          </w:tcPr>
          <w:p>
            <w:pPr>
              <w:pStyle w:val="TableContents"/>
              <w:bidi w:val="0"/>
              <w:spacing w:before="0" w:after="283"/>
              <w:jc w:val="left"/>
              <w:rPr/>
            </w:pPr>
            <w:r>
              <w:rPr/>
              <w:t>  </w:t>
            </w:r>
          </w:p>
        </w:tc>
        <w:tc>
          <w:tcPr>
            <w:tcW w:w="4562" w:type="dxa"/>
            <w:tcBorders/>
          </w:tcPr>
          <w:p>
            <w:pPr>
              <w:pStyle w:val="TableContents"/>
              <w:bidi w:val="0"/>
              <w:spacing w:before="0" w:after="283"/>
              <w:jc w:val="left"/>
              <w:rPr>
                <w:sz w:val="4"/>
                <w:szCs w:val="4"/>
              </w:rPr>
            </w:pPr>
            <w:r>
              <w:rPr>
                <w:sz w:val="4"/>
                <w:szCs w:val="4"/>
              </w:rPr>
            </w:r>
          </w:p>
        </w:tc>
      </w:tr>
      <w:tr>
        <w:trPr>
          <w:trHeight w:val="240" w:hRule="atLeast"/>
        </w:trPr>
        <w:tc>
          <w:tcPr>
            <w:tcW w:w="5521" w:type="dxa"/>
            <w:tcBorders/>
            <w:vAlign w:val="center"/>
          </w:tcPr>
          <w:p>
            <w:pPr>
              <w:pStyle w:val="TableContents"/>
              <w:bidi w:val="0"/>
              <w:spacing w:before="0" w:after="283"/>
              <w:jc w:val="left"/>
              <w:rPr>
                <w:sz w:val="4"/>
                <w:szCs w:val="4"/>
              </w:rPr>
            </w:pPr>
            <w:r>
              <w:rPr>
                <w:sz w:val="4"/>
                <w:szCs w:val="4"/>
              </w:rPr>
            </w:r>
          </w:p>
        </w:tc>
        <w:tc>
          <w:tcPr>
            <w:tcW w:w="4684" w:type="dxa"/>
            <w:gridSpan w:val="2"/>
            <w:tcBorders/>
            <w:vAlign w:val="center"/>
          </w:tcPr>
          <w:p>
            <w:pPr>
              <w:pStyle w:val="TableContents"/>
              <w:bidi w:val="0"/>
              <w:spacing w:before="0" w:after="283"/>
              <w:jc w:val="left"/>
              <w:rPr>
                <w:sz w:val="4"/>
                <w:szCs w:val="4"/>
              </w:rPr>
            </w:pPr>
            <w:r>
              <w:rPr>
                <w:sz w:val="4"/>
                <w:szCs w:val="4"/>
              </w:rPr>
            </w:r>
          </w:p>
        </w:tc>
      </w:tr>
      <w:tr>
        <w:trPr/>
        <w:tc>
          <w:tcPr>
            <w:tcW w:w="5521" w:type="dxa"/>
            <w:tcBorders/>
          </w:tcPr>
          <w:p>
            <w:pPr>
              <w:pStyle w:val="TableContents"/>
              <w:bidi w:val="0"/>
              <w:spacing w:before="0" w:after="283"/>
              <w:jc w:val="left"/>
              <w:rPr>
                <w:u w:val="single"/>
              </w:rPr>
            </w:pPr>
            <w:r>
              <w:rPr>
                <w:u w:val="single"/>
              </w:rPr>
              <w:t>                        </w:t>
            </w:r>
          </w:p>
        </w:tc>
        <w:tc>
          <w:tcPr>
            <w:tcW w:w="122" w:type="dxa"/>
            <w:tcBorders/>
            <w:vAlign w:val="bottom"/>
          </w:tcPr>
          <w:p>
            <w:pPr>
              <w:pStyle w:val="TableContents"/>
              <w:bidi w:val="0"/>
              <w:spacing w:before="0" w:after="283"/>
              <w:jc w:val="left"/>
              <w:rPr/>
            </w:pPr>
            <w:r>
              <w:rPr/>
              <w:t>  </w:t>
            </w:r>
          </w:p>
        </w:tc>
        <w:tc>
          <w:tcPr>
            <w:tcW w:w="4562" w:type="dxa"/>
            <w:tcBorders/>
          </w:tcPr>
          <w:p>
            <w:pPr>
              <w:pStyle w:val="TableContents"/>
              <w:bidi w:val="0"/>
              <w:spacing w:before="0" w:after="283"/>
              <w:jc w:val="left"/>
              <w:rPr>
                <w:sz w:val="4"/>
                <w:szCs w:val="4"/>
              </w:rPr>
            </w:pPr>
            <w:r>
              <w:rPr>
                <w:sz w:val="4"/>
                <w:szCs w:val="4"/>
              </w:rPr>
            </w:r>
          </w:p>
        </w:tc>
      </w:tr>
      <w:tr>
        <w:trPr/>
        <w:tc>
          <w:tcPr>
            <w:tcW w:w="5521" w:type="dxa"/>
            <w:tcBorders/>
          </w:tcPr>
          <w:p>
            <w:pPr>
              <w:pStyle w:val="TableContents"/>
              <w:bidi w:val="0"/>
              <w:spacing w:before="0" w:after="0"/>
              <w:jc w:val="left"/>
              <w:rPr>
                <w:rFonts w:ascii="Times New Roman" w:hAnsi="Times New Roman"/>
                <w:sz w:val="20"/>
              </w:rPr>
            </w:pPr>
            <w:r>
              <w:rPr>
                <w:rFonts w:ascii="Times New Roman" w:hAnsi="Times New Roman"/>
                <w:sz w:val="20"/>
              </w:rPr>
              <w:t>(Insert Social Security or Other Identifying Number of Holder)</w:t>
            </w:r>
          </w:p>
        </w:tc>
        <w:tc>
          <w:tcPr>
            <w:tcW w:w="122" w:type="dxa"/>
            <w:tcBorders/>
            <w:vAlign w:val="bottom"/>
          </w:tcPr>
          <w:p>
            <w:pPr>
              <w:pStyle w:val="TableContents"/>
              <w:bidi w:val="0"/>
              <w:spacing w:before="0" w:after="283"/>
              <w:jc w:val="left"/>
              <w:rPr/>
            </w:pPr>
            <w:r>
              <w:rPr/>
              <w:t>  </w:t>
            </w:r>
          </w:p>
        </w:tc>
        <w:tc>
          <w:tcPr>
            <w:tcW w:w="4562" w:type="dxa"/>
            <w:tcBorders/>
          </w:tcPr>
          <w:p>
            <w:pPr>
              <w:pStyle w:val="TableContents"/>
              <w:bidi w:val="0"/>
              <w:spacing w:before="0" w:after="283"/>
              <w:jc w:val="left"/>
              <w:rPr>
                <w:sz w:val="4"/>
                <w:szCs w:val="4"/>
              </w:rPr>
            </w:pPr>
            <w:r>
              <w:rPr>
                <w:sz w:val="4"/>
                <w:szCs w:val="4"/>
              </w:rPr>
            </w:r>
          </w:p>
        </w:tc>
      </w:tr>
      <w:tr>
        <w:trPr>
          <w:trHeight w:val="240" w:hRule="atLeast"/>
        </w:trPr>
        <w:tc>
          <w:tcPr>
            <w:tcW w:w="5521" w:type="dxa"/>
            <w:tcBorders/>
            <w:vAlign w:val="center"/>
          </w:tcPr>
          <w:p>
            <w:pPr>
              <w:pStyle w:val="TableContents"/>
              <w:bidi w:val="0"/>
              <w:spacing w:before="0" w:after="283"/>
              <w:jc w:val="left"/>
              <w:rPr>
                <w:sz w:val="4"/>
                <w:szCs w:val="4"/>
              </w:rPr>
            </w:pPr>
            <w:r>
              <w:rPr>
                <w:sz w:val="4"/>
                <w:szCs w:val="4"/>
              </w:rPr>
            </w:r>
          </w:p>
        </w:tc>
        <w:tc>
          <w:tcPr>
            <w:tcW w:w="4684" w:type="dxa"/>
            <w:gridSpan w:val="2"/>
            <w:tcBorders/>
            <w:vAlign w:val="center"/>
          </w:tcPr>
          <w:p>
            <w:pPr>
              <w:pStyle w:val="TableContents"/>
              <w:bidi w:val="0"/>
              <w:spacing w:before="0" w:after="283"/>
              <w:jc w:val="left"/>
              <w:rPr>
                <w:sz w:val="4"/>
                <w:szCs w:val="4"/>
              </w:rPr>
            </w:pPr>
            <w:r>
              <w:rPr>
                <w:sz w:val="4"/>
                <w:szCs w:val="4"/>
              </w:rPr>
            </w:r>
          </w:p>
        </w:tc>
      </w:tr>
      <w:tr>
        <w:trPr/>
        <w:tc>
          <w:tcPr>
            <w:tcW w:w="552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Guaranteed: </w:t>
            </w:r>
            <w:r>
              <w:rPr>
                <w:rFonts w:ascii="Times New Roman" w:hAnsi="Times New Roman"/>
                <w:sz w:val="20"/>
                <w:u w:val="single"/>
              </w:rPr>
              <w:t>               </w:t>
            </w:r>
          </w:p>
        </w:tc>
        <w:tc>
          <w:tcPr>
            <w:tcW w:w="122" w:type="dxa"/>
            <w:tcBorders/>
            <w:vAlign w:val="bottom"/>
          </w:tcPr>
          <w:p>
            <w:pPr>
              <w:pStyle w:val="TableContents"/>
              <w:bidi w:val="0"/>
              <w:spacing w:before="0" w:after="283"/>
              <w:jc w:val="left"/>
              <w:rPr/>
            </w:pPr>
            <w:r>
              <w:rPr/>
              <w:t>  </w:t>
            </w:r>
          </w:p>
        </w:tc>
        <w:tc>
          <w:tcPr>
            <w:tcW w:w="4562" w:type="dxa"/>
            <w:tcBorders/>
          </w:tcPr>
          <w:p>
            <w:pPr>
              <w:pStyle w:val="TableContents"/>
              <w:bidi w:val="0"/>
              <w:spacing w:before="0" w:after="283"/>
              <w:jc w:val="left"/>
              <w:rPr>
                <w:sz w:val="4"/>
                <w:szCs w:val="4"/>
              </w:rPr>
            </w:pPr>
            <w:r>
              <w:rPr>
                <w:sz w:val="4"/>
                <w:szCs w:val="4"/>
              </w:rPr>
            </w:r>
          </w:p>
        </w:tc>
      </w:tr>
      <w:tr>
        <w:trPr/>
        <w:tc>
          <w:tcPr>
            <w:tcW w:w="5521" w:type="dxa"/>
            <w:tcBorders/>
          </w:tcPr>
          <w:p>
            <w:pPr>
              <w:pStyle w:val="TableContents"/>
              <w:bidi w:val="0"/>
              <w:spacing w:before="0" w:after="0"/>
              <w:jc w:val="center"/>
              <w:rPr>
                <w:rFonts w:ascii="Times New Roman" w:hAnsi="Times New Roman"/>
                <w:sz w:val="20"/>
              </w:rPr>
            </w:pPr>
            <w:r>
              <w:rPr>
                <w:rFonts w:ascii="Times New Roman" w:hAnsi="Times New Roman"/>
                <w:sz w:val="20"/>
              </w:rPr>
              <w:t>Signature</w:t>
            </w:r>
          </w:p>
        </w:tc>
        <w:tc>
          <w:tcPr>
            <w:tcW w:w="122" w:type="dxa"/>
            <w:tcBorders/>
            <w:vAlign w:val="bottom"/>
          </w:tcPr>
          <w:p>
            <w:pPr>
              <w:pStyle w:val="TableContents"/>
              <w:bidi w:val="0"/>
              <w:spacing w:before="0" w:after="283"/>
              <w:jc w:val="left"/>
              <w:rPr/>
            </w:pPr>
            <w:r>
              <w:rPr/>
              <w:t>  </w:t>
            </w:r>
          </w:p>
        </w:tc>
        <w:tc>
          <w:tcPr>
            <w:tcW w:w="456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5"/>
        <w:gridCol w:w="120"/>
        <w:gridCol w:w="4910"/>
      </w:tblGrid>
      <w:tr>
        <w:trPr/>
        <w:tc>
          <w:tcPr>
            <w:tcW w:w="5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5175" w:type="dxa"/>
            <w:tcBorders/>
          </w:tcPr>
          <w:p>
            <w:pPr>
              <w:pStyle w:val="TableContents"/>
              <w:bidi w:val="0"/>
              <w:spacing w:before="0" w:after="283"/>
              <w:jc w:val="left"/>
              <w:rPr>
                <w:u w:val="single"/>
              </w:rPr>
            </w:pPr>
            <w:r>
              <w:rPr>
                <w:u w:val="single"/>
              </w:rPr>
              <w:t>                </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283"/>
              <w:jc w:val="left"/>
              <w:rPr>
                <w:u w:val="single"/>
              </w:rPr>
            </w:pPr>
            <w:r>
              <w:rPr>
                <w:u w:val="single"/>
              </w:rPr>
              <w:t>                           </w:t>
            </w:r>
          </w:p>
        </w:tc>
      </w:tr>
      <w:tr>
        <w:trPr/>
        <w:tc>
          <w:tcPr>
            <w:tcW w:w="5175" w:type="dxa"/>
            <w:tcBorders/>
          </w:tcPr>
          <w:p>
            <w:pPr>
              <w:pStyle w:val="TableContents"/>
              <w:bidi w:val="0"/>
              <w:spacing w:before="0" w:after="283"/>
              <w:jc w:val="left"/>
              <w:rPr/>
            </w:pPr>
            <w:r>
              <w:rPr/>
              <w:t>(Please print name and address including zip code)</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_______________ shares of [Title of Warrant Securities] of Kodiak Sciences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0"/>
        <w:gridCol w:w="108"/>
        <w:gridCol w:w="4031"/>
        <w:gridCol w:w="108"/>
        <w:gridCol w:w="601"/>
        <w:gridCol w:w="108"/>
        <w:gridCol w:w="4649"/>
      </w:tblGrid>
      <w:tr>
        <w:trPr/>
        <w:tc>
          <w:tcPr>
            <w:tcW w:w="6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49" w:type="dxa"/>
            <w:tcBorders/>
            <w:vAlign w:val="center"/>
          </w:tcPr>
          <w:p>
            <w:pPr>
              <w:pStyle w:val="TableContents"/>
              <w:bidi w:val="0"/>
              <w:spacing w:before="0" w:after="283"/>
              <w:jc w:val="left"/>
              <w:rPr>
                <w:sz w:val="4"/>
                <w:szCs w:val="4"/>
              </w:rPr>
            </w:pPr>
            <w:r>
              <w:rPr>
                <w:sz w:val="4"/>
                <w:szCs w:val="4"/>
              </w:rPr>
            </w:r>
          </w:p>
        </w:tc>
      </w:tr>
      <w:tr>
        <w:trPr/>
        <w:tc>
          <w:tcPr>
            <w:tcW w:w="600" w:type="dxa"/>
            <w:tcBorders/>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4031" w:type="dxa"/>
            <w:tcBorders/>
          </w:tcPr>
          <w:p>
            <w:pPr>
              <w:pStyle w:val="TableContents"/>
              <w:bidi w:val="0"/>
              <w:spacing w:before="0" w:after="283"/>
              <w:jc w:val="left"/>
              <w:rPr>
                <w:u w:val="single"/>
              </w:rPr>
            </w:pPr>
            <w:r>
              <w:rPr>
                <w:u w:val="single"/>
              </w:rPr>
              <w:t>             </w:t>
            </w:r>
          </w:p>
        </w:tc>
        <w:tc>
          <w:tcPr>
            <w:tcW w:w="108"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649" w:type="dxa"/>
            <w:tcBorders/>
          </w:tcPr>
          <w:p>
            <w:pPr>
              <w:pStyle w:val="TableContents"/>
              <w:bidi w:val="0"/>
              <w:spacing w:before="0" w:after="283"/>
              <w:jc w:val="left"/>
              <w:rPr>
                <w:u w:val="single"/>
              </w:rPr>
            </w:pPr>
            <w:r>
              <w:rPr>
                <w:u w:val="single"/>
              </w:rPr>
              <w:t>                          </w:t>
            </w:r>
          </w:p>
        </w:tc>
      </w:tr>
      <w:tr>
        <w:trPr/>
        <w:tc>
          <w:tcPr>
            <w:tcW w:w="6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03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49"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7"/>
        <w:gridCol w:w="130"/>
        <w:gridCol w:w="4858"/>
      </w:tblGrid>
      <w:tr>
        <w:trPr/>
        <w:tc>
          <w:tcPr>
            <w:tcW w:w="521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858" w:type="dxa"/>
            <w:tcBorders/>
            <w:vAlign w:val="center"/>
          </w:tcPr>
          <w:p>
            <w:pPr>
              <w:pStyle w:val="TableContents"/>
              <w:bidi w:val="0"/>
              <w:spacing w:before="0" w:after="283"/>
              <w:jc w:val="left"/>
              <w:rPr>
                <w:sz w:val="4"/>
                <w:szCs w:val="4"/>
              </w:rPr>
            </w:pPr>
            <w:r>
              <w:rPr>
                <w:sz w:val="4"/>
                <w:szCs w:val="4"/>
              </w:rPr>
            </w:r>
          </w:p>
        </w:tc>
      </w:tr>
      <w:tr>
        <w:trPr/>
        <w:tc>
          <w:tcPr>
            <w:tcW w:w="5217" w:type="dxa"/>
            <w:tcBorders/>
          </w:tcPr>
          <w:p>
            <w:pPr>
              <w:pStyle w:val="TableContents"/>
              <w:bidi w:val="0"/>
              <w:spacing w:before="0" w:after="283"/>
              <w:jc w:val="left"/>
              <w:rPr>
                <w:u w:val="single"/>
              </w:rPr>
            </w:pPr>
            <w:r>
              <w:rPr>
                <w:u w:val="single"/>
              </w:rPr>
              <w:t>                 </w:t>
            </w:r>
          </w:p>
        </w:tc>
        <w:tc>
          <w:tcPr>
            <w:tcW w:w="130" w:type="dxa"/>
            <w:tcBorders/>
            <w:vAlign w:val="bottom"/>
          </w:tcPr>
          <w:p>
            <w:pPr>
              <w:pStyle w:val="TableContents"/>
              <w:bidi w:val="0"/>
              <w:spacing w:before="0" w:after="283"/>
              <w:jc w:val="left"/>
              <w:rPr/>
            </w:pPr>
            <w:r>
              <w:rPr/>
              <w:t>  </w:t>
            </w:r>
          </w:p>
        </w:tc>
        <w:tc>
          <w:tcPr>
            <w:tcW w:w="48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7" w:name="d143488dex46.htm"/>
      <w:bookmarkStart w:id="38" w:name="ksd143488dex46"/>
      <w:bookmarkEnd w:id="37"/>
      <w:bookmarkEnd w:id="38"/>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FORM OF PREFERRED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PREFERRED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KODIAK 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Preferred Stock purchasable through exercise of Warrants] of the Company, par value $0.0001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w:t>
      </w:r>
      <w:r>
        <w:rPr>
          <w:rFonts w:ascii="Times New Roman" w:hAnsi="Times New Roman"/>
          <w:sz w:val="20"/>
        </w:rPr>
        <w:t xml:space="preserve"> </w:t>
      </w:r>
      <w:r>
        <w:rPr>
          <w:rFonts w:ascii="Times New Roman" w:hAnsi="Times New Roman"/>
          <w:b/>
          <w:i/>
          <w:sz w:val="20"/>
        </w:rPr>
        <w:t>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in accordance with the terms of [title of Preferred Stock purchasable through exercise of Warrants] or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any securities of the Company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share of [title of Preferred Stock purchasable through exercise of Warrants].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Kodiak Sciences Inc., 1250 Page Mill Road, Palo Alto, California 94304,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5"/>
        <w:gridCol w:w="63"/>
        <w:gridCol w:w="2894"/>
      </w:tblGrid>
      <w:tr>
        <w:trPr/>
        <w:tc>
          <w:tcPr>
            <w:tcW w:w="112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Kodiak Sciences Inc., as Company</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b/>
              </w:rPr>
            </w:pPr>
            <w:r>
              <w:rPr>
                <w:b/>
              </w:rPr>
              <w:t>A</w:t>
            </w:r>
            <w:r>
              <w:rPr>
                <w:b/>
                <w:sz w:val="20"/>
              </w:rPr>
              <w:t>TTEST</w:t>
            </w:r>
            <w:r>
              <w:rPr>
                <w:b/>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0"/>
              </w:rPr>
            </w:pPr>
            <w:r>
              <w:rPr>
                <w:b/>
                <w:sz w:val="20"/>
              </w:rPr>
              <w:t>C</w:t>
            </w:r>
            <w:r>
              <w:rPr>
                <w:b/>
                <w:sz w:val="14"/>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b/>
              </w:rPr>
            </w:pPr>
            <w:r>
              <w:rPr>
                <w:b/>
              </w:rPr>
              <w:t>A</w:t>
            </w:r>
            <w:r>
              <w:rPr>
                <w:b/>
                <w:sz w:val="20"/>
              </w:rPr>
              <w:t>TTEST</w:t>
            </w:r>
            <w:r>
              <w:rPr>
                <w:b/>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KODIAK SCIENCES INC. PREFERRED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KODIAK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t>No. []</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right"/>
              <w:rPr/>
            </w:pPr>
            <w:r>
              <w:rPr/>
              <w:t> </w:t>
            </w: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hAnsi="Times New Roman"/>
          <w:b/>
          <w:i/>
          <w:sz w:val="20"/>
        </w:rPr>
        <w:t>Warrant Securities</w:t>
      </w:r>
      <w:r>
        <w:rPr>
          <w:rFonts w:ascii="Times New Roman" w:hAnsi="Times New Roman"/>
          <w:sz w:val="20"/>
        </w:rPr>
        <w:t>”), of Kodiak Sciences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52"/>
        <w:gridCol w:w="74"/>
        <w:gridCol w:w="1956"/>
      </w:tblGrid>
      <w:tr>
        <w:trPr/>
        <w:tc>
          <w:tcPr>
            <w:tcW w:w="2052"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KODIAK SCIENCES INC.</w:t>
            </w:r>
            <w:r>
              <w:rPr/>
              <w:t>, as Company</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Name: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Title: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b/>
              </w:rPr>
            </w:pPr>
            <w:r>
              <w:rPr>
                <w:b/>
              </w:rPr>
              <w:t>ATTEST:</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sz w:val="4"/>
                <w:szCs w:val="4"/>
              </w:rPr>
            </w:pPr>
            <w:r>
              <w:rPr>
                <w:sz w:val="4"/>
                <w:szCs w:val="4"/>
              </w:rPr>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Name: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Title: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b/>
              </w:rPr>
            </w:pPr>
            <w:r>
              <w:rPr>
                <w:b/>
              </w:rPr>
              <w:t>ATTEST:</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sz w:val="4"/>
                <w:szCs w:val="4"/>
              </w:rPr>
            </w:pPr>
            <w:r>
              <w:rPr>
                <w:sz w:val="4"/>
                <w:szCs w:val="4"/>
              </w:rPr>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[TITLE OF WARRANT SECURITIES], par value $0.0001 per share (the “</w:t>
      </w:r>
      <w:r>
        <w:rPr>
          <w:rFonts w:ascii="Times New Roman" w:hAnsi="Times New Roman"/>
          <w:b/>
          <w:i/>
          <w:sz w:val="20"/>
        </w:rPr>
        <w:t>Warrant Securities</w:t>
      </w:r>
      <w:r>
        <w:rPr>
          <w:rFonts w:ascii="Times New Roman" w:hAnsi="Times New Roman"/>
          <w:sz w:val="20"/>
        </w:rPr>
        <w:t xml:space="preserve">”), of Kodiak Sciences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Kodiak Sciences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4186"/>
        <w:gridCol w:w="101"/>
        <w:gridCol w:w="408"/>
        <w:gridCol w:w="101"/>
        <w:gridCol w:w="510"/>
        <w:gridCol w:w="101"/>
        <w:gridCol w:w="4187"/>
      </w:tblGrid>
      <w:tr>
        <w:trPr/>
        <w:tc>
          <w:tcPr>
            <w:tcW w:w="5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7" w:type="dxa"/>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2"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u w:val="single"/>
              </w:rPr>
            </w:pPr>
            <w:r>
              <w:rPr>
                <w:u w:val="single"/>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187" w:type="dxa"/>
            <w:tcBorders>
              <w:bottom w:val="single" w:sz="2" w:space="0" w:color="000000"/>
            </w:tcBorders>
            <w:tcMar>
              <w:bottom w:w="28" w:type="dxa"/>
            </w:tcMar>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87" w:type="dxa"/>
            <w:tcBorders/>
            <w:vAlign w:val="bottom"/>
          </w:tcPr>
          <w:p>
            <w:pPr>
              <w:pStyle w:val="TableContents"/>
              <w:bidi w:val="0"/>
              <w:spacing w:before="0" w:after="283"/>
              <w:jc w:val="center"/>
              <w:rPr>
                <w:sz w:val="20"/>
              </w:rPr>
            </w:pPr>
            <w:r>
              <w:rPr>
                <w:sz w:val="20"/>
              </w:rPr>
              <w:t>Please Print</w:t>
            </w:r>
          </w:p>
        </w:tc>
      </w:tr>
    </w:tbl>
    <w:tbl>
      <w:tblPr>
        <w:tblW w:w="5000" w:type="pct"/>
        <w:jc w:val="left"/>
        <w:tblInd w:w="0" w:type="dxa"/>
        <w:tblLayout w:type="fixed"/>
        <w:tblCellMar>
          <w:top w:w="0" w:type="dxa"/>
          <w:left w:w="0" w:type="dxa"/>
          <w:bottom w:w="0" w:type="dxa"/>
          <w:right w:w="0" w:type="dxa"/>
        </w:tblCellMar>
      </w:tblPr>
      <w:tblGrid>
        <w:gridCol w:w="1811"/>
        <w:gridCol w:w="103"/>
        <w:gridCol w:w="3770"/>
        <w:gridCol w:w="103"/>
        <w:gridCol w:w="403"/>
        <w:gridCol w:w="60"/>
        <w:gridCol w:w="23"/>
        <w:gridCol w:w="103"/>
        <w:gridCol w:w="3829"/>
      </w:tblGrid>
      <w:tr>
        <w:trPr/>
        <w:tc>
          <w:tcPr>
            <w:tcW w:w="181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684" w:type="dxa"/>
            <w:gridSpan w:val="3"/>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5684" w:type="dxa"/>
            <w:gridSpan w:val="3"/>
            <w:tcBorders>
              <w:bottom w:val="single" w:sz="2" w:space="0" w:color="000000"/>
            </w:tcBorders>
            <w:tcMar>
              <w:bottom w:w="28" w:type="dxa"/>
            </w:tcMa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c>
          <w:tcPr>
            <w:tcW w:w="5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(Insert Social Security or Other Identifying Number of Holder)</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811" w:type="dxa"/>
            <w:tcBorders/>
            <w:vAlign w:val="center"/>
          </w:tcPr>
          <w:p>
            <w:pPr>
              <w:pStyle w:val="TableContents"/>
              <w:bidi w:val="0"/>
              <w:spacing w:before="0" w:after="283"/>
              <w:jc w:val="left"/>
              <w:rPr>
                <w:sz w:val="4"/>
                <w:szCs w:val="4"/>
              </w:rPr>
            </w:pPr>
            <w:r>
              <w:rPr>
                <w:sz w:val="4"/>
                <w:szCs w:val="4"/>
              </w:rPr>
            </w:r>
          </w:p>
        </w:tc>
        <w:tc>
          <w:tcPr>
            <w:tcW w:w="3873"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Guaranteed:</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770" w:type="dxa"/>
            <w:tcBorders>
              <w:bottom w:val="single" w:sz="2" w:space="0" w:color="000000"/>
            </w:tcBorders>
            <w:tcMar>
              <w:bottom w:w="28" w:type="dxa"/>
            </w:tcMa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0"/>
              <w:jc w:val="center"/>
              <w:rPr>
                <w:rFonts w:ascii="Times New Roman" w:hAnsi="Times New Roman"/>
                <w:sz w:val="20"/>
              </w:rPr>
            </w:pPr>
            <w:r>
              <w:rPr>
                <w:rFonts w:ascii="Times New Roman" w:hAnsi="Times New Roman"/>
                <w:sz w:val="20"/>
              </w:rPr>
              <w:t>Signature</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sz w:val="20"/>
              </w:rPr>
            </w:pPr>
            <w:r>
              <w:rPr>
                <w:sz w:val="20"/>
              </w:rPr>
              <w:t>(Signature must conform in all respects to name of holder as specified on the face of this Warrant Certificate and must bear a signature guarantee by a FINRA member firm).</w:t>
            </w:r>
          </w:p>
        </w:tc>
      </w:tr>
      <w:tr>
        <w:trPr>
          <w:trHeight w:val="240" w:hRule="atLeast"/>
        </w:trPr>
        <w:tc>
          <w:tcPr>
            <w:tcW w:w="5684" w:type="dxa"/>
            <w:gridSpan w:val="3"/>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Warrant may be exercised at the following addresses: By hand at:</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811" w:type="dxa"/>
            <w:tcBorders/>
            <w:vAlign w:val="center"/>
          </w:tcPr>
          <w:p>
            <w:pPr>
              <w:pStyle w:val="TableContents"/>
              <w:bidi w:val="0"/>
              <w:spacing w:before="0" w:after="283"/>
              <w:jc w:val="left"/>
              <w:rPr>
                <w:sz w:val="4"/>
                <w:szCs w:val="4"/>
              </w:rPr>
            </w:pPr>
            <w:r>
              <w:rPr>
                <w:sz w:val="4"/>
                <w:szCs w:val="4"/>
              </w:rPr>
            </w:r>
          </w:p>
        </w:tc>
        <w:tc>
          <w:tcPr>
            <w:tcW w:w="3873"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252"/>
        <w:gridCol w:w="266"/>
        <w:gridCol w:w="4477"/>
        <w:gridCol w:w="175"/>
        <w:gridCol w:w="405"/>
        <w:gridCol w:w="120"/>
        <w:gridCol w:w="46"/>
        <w:gridCol w:w="124"/>
        <w:gridCol w:w="4340"/>
      </w:tblGrid>
      <w:tr>
        <w:trPr/>
        <w:tc>
          <w:tcPr>
            <w:tcW w:w="252"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447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mail at:</w:t>
            </w:r>
          </w:p>
        </w:tc>
        <w:tc>
          <w:tcPr>
            <w:tcW w:w="175"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1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sz w:val="20"/>
              </w:rPr>
            </w:pPr>
            <w:r>
              <w:rPr>
                <w:sz w:val="20"/>
              </w:rPr>
              <w:t>[Instructions as to form and delivery of Warrant Securities and, if applicable, Warrant Certificates evidencing Warrants for the number of Warrant Securities remaining unexercised—complete as appropriate.]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91"/>
        <w:gridCol w:w="134"/>
        <w:gridCol w:w="3820"/>
        <w:gridCol w:w="116"/>
        <w:gridCol w:w="351"/>
        <w:gridCol w:w="116"/>
        <w:gridCol w:w="680"/>
        <w:gridCol w:w="116"/>
        <w:gridCol w:w="3981"/>
      </w:tblGrid>
      <w:tr>
        <w:trPr/>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______________ hereby sells, assigns and transfers unto:</w:t>
            </w:r>
          </w:p>
        </w:tc>
      </w:tr>
      <w:tr>
        <w:trPr>
          <w:trHeight w:val="240" w:hRule="atLeast"/>
        </w:trPr>
        <w:tc>
          <w:tcPr>
            <w:tcW w:w="4845" w:type="dxa"/>
            <w:gridSpan w:val="3"/>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4845" w:type="dxa"/>
            <w:gridSpan w:val="3"/>
            <w:tcBorders>
              <w:bottom w:val="single" w:sz="2" w:space="0" w:color="000000"/>
            </w:tcBorders>
            <w:tcMar>
              <w:bottom w:w="28" w:type="dxa"/>
            </w:tcMa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3981" w:type="dxa"/>
            <w:tcBorders>
              <w:bottom w:val="single" w:sz="2" w:space="0" w:color="000000"/>
            </w:tcBorders>
            <w:tcMar>
              <w:bottom w:w="28" w:type="dxa"/>
            </w:tcMar>
          </w:tcPr>
          <w:p>
            <w:pPr>
              <w:pStyle w:val="TableContents"/>
              <w:bidi w:val="0"/>
              <w:spacing w:before="0" w:after="283"/>
              <w:jc w:val="left"/>
              <w:rPr/>
            </w:pPr>
            <w:r>
              <w:rPr/>
              <w:t> </w:t>
            </w:r>
          </w:p>
        </w:tc>
      </w:tr>
      <w:tr>
        <w:trPr/>
        <w:tc>
          <w:tcPr>
            <w:tcW w:w="4845" w:type="dxa"/>
            <w:gridSpan w:val="3"/>
            <w:tcBorders/>
          </w:tcPr>
          <w:p>
            <w:pPr>
              <w:pStyle w:val="TableContents"/>
              <w:bidi w:val="0"/>
              <w:spacing w:before="0" w:after="283"/>
              <w:jc w:val="left"/>
              <w:rPr/>
            </w:pPr>
            <w:r>
              <w:rPr/>
              <w:t>(Please print name and address including zip code)</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Please print Social Security or other identifying number</w:t>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pPr>
            <w:r>
              <w:rPr/>
              <w:t>the right represented by the within Warrant to purchase __________ shares of [Title of Warrant Securities] of Kodiak Sciences Inc. to which the within Warrant relates and appoints ____________________ attorney to transfer such right on the books of the Warrant Agent with full power of substitution in the premises.</w:t>
            </w:r>
          </w:p>
        </w:tc>
      </w:tr>
      <w:tr>
        <w:trPr>
          <w:trHeight w:val="240" w:hRule="atLeast"/>
        </w:trPr>
        <w:tc>
          <w:tcPr>
            <w:tcW w:w="891" w:type="dxa"/>
            <w:tcBorders/>
            <w:vAlign w:val="center"/>
          </w:tcPr>
          <w:p>
            <w:pPr>
              <w:pStyle w:val="TableContents"/>
              <w:bidi w:val="0"/>
              <w:spacing w:before="0" w:after="283"/>
              <w:jc w:val="left"/>
              <w:rPr>
                <w:sz w:val="4"/>
                <w:szCs w:val="4"/>
              </w:rPr>
            </w:pPr>
            <w:r>
              <w:rPr>
                <w:sz w:val="4"/>
                <w:szCs w:val="4"/>
              </w:rPr>
            </w:r>
          </w:p>
        </w:tc>
        <w:tc>
          <w:tcPr>
            <w:tcW w:w="3954" w:type="dxa"/>
            <w:gridSpan w:val="2"/>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34"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0"/>
              <w:jc w:val="left"/>
              <w:rPr>
                <w:u w:val="single"/>
              </w:rPr>
            </w:pPr>
            <w:r>
              <w:rPr>
                <w:u w:val="single"/>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398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9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Signature</w:t>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center"/>
              <w:rPr/>
            </w:pPr>
            <w:r>
              <w:rPr/>
              <w:t>(Signature must conform in all respects to name of holder as specified on the face of the Warrant)</w:t>
            </w:r>
          </w:p>
        </w:tc>
      </w:tr>
      <w:tr>
        <w:trPr>
          <w:trHeight w:val="240" w:hRule="atLeast"/>
        </w:trPr>
        <w:tc>
          <w:tcPr>
            <w:tcW w:w="4845" w:type="dxa"/>
            <w:gridSpan w:val="3"/>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Pr>
          <w:p>
            <w:pPr>
              <w:pStyle w:val="TableContents"/>
              <w:bidi w:val="0"/>
              <w:spacing w:before="0" w:after="283"/>
              <w:jc w:val="left"/>
              <w:rPr/>
            </w:pPr>
            <w:r>
              <w:rPr/>
              <w:t>Signature Guaranteed</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sz w:val="4"/>
                <w:szCs w:val="4"/>
              </w:rPr>
            </w:pPr>
            <w:r>
              <w:rPr>
                <w:sz w:val="4"/>
                <w:szCs w:val="4"/>
              </w:rPr>
            </w:r>
          </w:p>
        </w:tc>
      </w:tr>
      <w:tr>
        <w:trPr/>
        <w:tc>
          <w:tcPr>
            <w:tcW w:w="4845" w:type="dxa"/>
            <w:gridSpan w:val="3"/>
            <w:tcBorders>
              <w:bottom w:val="single" w:sz="2" w:space="0" w:color="000000"/>
            </w:tcBorders>
            <w:tcMar>
              <w:bottom w:w="28" w:type="dxa"/>
            </w:tcMa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FORM OF PREFERRED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PREFERRED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KODIAK 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Preferred Stock purchasable through exercise of Warrants] of the Company, par value $0.0001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w:t>
      </w:r>
      <w:r>
        <w:rPr>
          <w:rFonts w:ascii="Times New Roman" w:hAnsi="Times New Roman"/>
          <w:sz w:val="20"/>
        </w:rPr>
        <w:t xml:space="preserve"> </w:t>
      </w:r>
      <w:r>
        <w:rPr>
          <w:rFonts w:ascii="Times New Roman" w:hAnsi="Times New Roman"/>
          <w:b/>
          <w:i/>
          <w:sz w:val="20"/>
        </w:rPr>
        <w:t>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 xml:space="preserve">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any cash paid or payable otherwise than in accordance with the terms of [title of Preferred Stock purchasable through exercise of Warrants] or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Except as herein otherwise expressly provided, no adjustment in the Warrant Price shall be made by reason of the issuance of any securities of the Company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Notwithstanding anything to the contrary herein, in no event shall the Warrant Price, as adjusted in accordance with the terms hereof, be less than the par value per share of [title of Preferred Stock purchasable through exercise of Warrants].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Kodiak Sciences Inc., 1250 Page Mill Road, Palo Alto, California 94304,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5"/>
        <w:gridCol w:w="63"/>
        <w:gridCol w:w="2894"/>
      </w:tblGrid>
      <w:tr>
        <w:trPr/>
        <w:tc>
          <w:tcPr>
            <w:tcW w:w="112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Kodiak Sciences Inc., as Company</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b/>
              </w:rPr>
            </w:pPr>
            <w:r>
              <w:rPr>
                <w:b/>
              </w:rPr>
              <w:t>A</w:t>
            </w:r>
            <w:r>
              <w:rPr>
                <w:b/>
                <w:sz w:val="20"/>
              </w:rPr>
              <w:t>TTEST</w:t>
            </w:r>
            <w:r>
              <w:rPr>
                <w:b/>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0"/>
              </w:rPr>
            </w:pPr>
            <w:r>
              <w:rPr>
                <w:b/>
                <w:sz w:val="20"/>
              </w:rPr>
              <w:t>C</w:t>
            </w:r>
            <w:r>
              <w:rPr>
                <w:b/>
                <w:sz w:val="14"/>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125"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tcPr>
          <w:p>
            <w:pPr>
              <w:pStyle w:val="TableContents"/>
              <w:bidi w:val="0"/>
              <w:spacing w:before="0" w:after="283"/>
              <w:jc w:val="left"/>
              <w:rPr>
                <w:b/>
              </w:rPr>
            </w:pPr>
            <w:r>
              <w:rPr>
                <w:b/>
              </w:rPr>
              <w:t>A</w:t>
            </w:r>
            <w:r>
              <w:rPr>
                <w:b/>
                <w:sz w:val="20"/>
              </w:rPr>
              <w:t>TTEST</w:t>
            </w:r>
            <w:r>
              <w:rPr>
                <w:b/>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r>
        <w:trPr/>
        <w:tc>
          <w:tcPr>
            <w:tcW w:w="1125"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89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KODIAK SCIENCES INC. PREFERRED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KODIAK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t>No. []</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right"/>
              <w:rPr/>
            </w:pPr>
            <w:r>
              <w:rPr/>
              <w:t> </w:t>
            </w: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hAnsi="Times New Roman"/>
          <w:b/>
          <w:i/>
          <w:sz w:val="20"/>
        </w:rPr>
        <w:t>Warrant Securities</w:t>
      </w:r>
      <w:r>
        <w:rPr>
          <w:rFonts w:ascii="Times New Roman" w:hAnsi="Times New Roman"/>
          <w:sz w:val="20"/>
        </w:rPr>
        <w:t>”), of Kodiak Sciences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052"/>
        <w:gridCol w:w="74"/>
        <w:gridCol w:w="1956"/>
      </w:tblGrid>
      <w:tr>
        <w:trPr/>
        <w:tc>
          <w:tcPr>
            <w:tcW w:w="2052"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KODIAK SCIENCES INC.</w:t>
            </w:r>
            <w:r>
              <w:rPr/>
              <w:t>, as Company</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Name: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Title: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b/>
              </w:rPr>
            </w:pPr>
            <w:r>
              <w:rPr>
                <w:b/>
              </w:rPr>
              <w:t>ATTEST:</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sz w:val="4"/>
                <w:szCs w:val="4"/>
              </w:rPr>
            </w:pPr>
            <w:r>
              <w:rPr>
                <w:sz w:val="4"/>
                <w:szCs w:val="4"/>
              </w:rPr>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pPr>
            <w:r>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Name: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pPr>
            <w:r>
              <w:rPr/>
              <w:t>Title:</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2052"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r>
      <w:tr>
        <w:trPr/>
        <w:tc>
          <w:tcPr>
            <w:tcW w:w="2052" w:type="dxa"/>
            <w:tcBorders/>
          </w:tcPr>
          <w:p>
            <w:pPr>
              <w:pStyle w:val="TableContents"/>
              <w:bidi w:val="0"/>
              <w:spacing w:before="0" w:after="283"/>
              <w:jc w:val="left"/>
              <w:rPr>
                <w:b/>
              </w:rPr>
            </w:pPr>
            <w:r>
              <w:rPr>
                <w:b/>
              </w:rPr>
              <w:t>ATTEST:</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r>
        <w:trPr/>
        <w:tc>
          <w:tcPr>
            <w:tcW w:w="2052" w:type="dxa"/>
            <w:tcBorders/>
          </w:tcPr>
          <w:p>
            <w:pPr>
              <w:pStyle w:val="TableContents"/>
              <w:bidi w:val="0"/>
              <w:spacing w:before="0" w:after="283"/>
              <w:jc w:val="left"/>
              <w:rPr>
                <w:sz w:val="4"/>
                <w:szCs w:val="4"/>
              </w:rPr>
            </w:pPr>
            <w:r>
              <w:rPr>
                <w:sz w:val="4"/>
                <w:szCs w:val="4"/>
              </w:rPr>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1956"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[TITLE OF WARRANT SECURITIES], par value $0.0001 per share (the “</w:t>
      </w:r>
      <w:r>
        <w:rPr>
          <w:rFonts w:ascii="Times New Roman" w:hAnsi="Times New Roman"/>
          <w:b/>
          <w:i/>
          <w:sz w:val="20"/>
        </w:rPr>
        <w:t>Warrant Securities</w:t>
      </w:r>
      <w:r>
        <w:rPr>
          <w:rFonts w:ascii="Times New Roman" w:hAnsi="Times New Roman"/>
          <w:sz w:val="20"/>
        </w:rPr>
        <w:t xml:space="preserve">”), of Kodiak Sciences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Kodiak Sciences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4186"/>
        <w:gridCol w:w="101"/>
        <w:gridCol w:w="408"/>
        <w:gridCol w:w="101"/>
        <w:gridCol w:w="510"/>
        <w:gridCol w:w="101"/>
        <w:gridCol w:w="4187"/>
      </w:tblGrid>
      <w:tr>
        <w:trPr/>
        <w:tc>
          <w:tcPr>
            <w:tcW w:w="5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87" w:type="dxa"/>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02"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u w:val="single"/>
              </w:rPr>
            </w:pPr>
            <w:r>
              <w:rPr>
                <w:u w:val="single"/>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187" w:type="dxa"/>
            <w:tcBorders>
              <w:bottom w:val="single" w:sz="2" w:space="0" w:color="000000"/>
            </w:tcBorders>
            <w:tcMar>
              <w:bottom w:w="28" w:type="dxa"/>
            </w:tcMar>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18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87" w:type="dxa"/>
            <w:tcBorders/>
            <w:vAlign w:val="bottom"/>
          </w:tcPr>
          <w:p>
            <w:pPr>
              <w:pStyle w:val="TableContents"/>
              <w:bidi w:val="0"/>
              <w:spacing w:before="0" w:after="283"/>
              <w:jc w:val="center"/>
              <w:rPr>
                <w:sz w:val="20"/>
              </w:rPr>
            </w:pPr>
            <w:r>
              <w:rPr>
                <w:sz w:val="20"/>
              </w:rPr>
              <w:t>Please Print</w:t>
            </w:r>
          </w:p>
        </w:tc>
      </w:tr>
    </w:tbl>
    <w:tbl>
      <w:tblPr>
        <w:tblW w:w="5000" w:type="pct"/>
        <w:jc w:val="left"/>
        <w:tblInd w:w="0" w:type="dxa"/>
        <w:tblLayout w:type="fixed"/>
        <w:tblCellMar>
          <w:top w:w="0" w:type="dxa"/>
          <w:left w:w="0" w:type="dxa"/>
          <w:bottom w:w="0" w:type="dxa"/>
          <w:right w:w="0" w:type="dxa"/>
        </w:tblCellMar>
      </w:tblPr>
      <w:tblGrid>
        <w:gridCol w:w="1811"/>
        <w:gridCol w:w="103"/>
        <w:gridCol w:w="3770"/>
        <w:gridCol w:w="103"/>
        <w:gridCol w:w="403"/>
        <w:gridCol w:w="60"/>
        <w:gridCol w:w="23"/>
        <w:gridCol w:w="103"/>
        <w:gridCol w:w="3829"/>
      </w:tblGrid>
      <w:tr>
        <w:trPr/>
        <w:tc>
          <w:tcPr>
            <w:tcW w:w="181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684" w:type="dxa"/>
            <w:gridSpan w:val="3"/>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5684" w:type="dxa"/>
            <w:gridSpan w:val="3"/>
            <w:tcBorders>
              <w:bottom w:val="single" w:sz="2" w:space="0" w:color="000000"/>
            </w:tcBorders>
            <w:tcMar>
              <w:bottom w:w="28" w:type="dxa"/>
            </w:tcMa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c>
          <w:tcPr>
            <w:tcW w:w="5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(Insert Social Security or Other Identifying Number of Holder)</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811" w:type="dxa"/>
            <w:tcBorders/>
            <w:vAlign w:val="center"/>
          </w:tcPr>
          <w:p>
            <w:pPr>
              <w:pStyle w:val="TableContents"/>
              <w:bidi w:val="0"/>
              <w:spacing w:before="0" w:after="283"/>
              <w:jc w:val="left"/>
              <w:rPr>
                <w:sz w:val="4"/>
                <w:szCs w:val="4"/>
              </w:rPr>
            </w:pPr>
            <w:r>
              <w:rPr>
                <w:sz w:val="4"/>
                <w:szCs w:val="4"/>
              </w:rPr>
            </w:r>
          </w:p>
        </w:tc>
        <w:tc>
          <w:tcPr>
            <w:tcW w:w="3873"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Guaranteed:</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770" w:type="dxa"/>
            <w:tcBorders>
              <w:bottom w:val="single" w:sz="2" w:space="0" w:color="000000"/>
            </w:tcBorders>
            <w:tcMar>
              <w:bottom w:w="28" w:type="dxa"/>
            </w:tcMa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0"/>
              <w:jc w:val="center"/>
              <w:rPr>
                <w:rFonts w:ascii="Times New Roman" w:hAnsi="Times New Roman"/>
                <w:sz w:val="20"/>
              </w:rPr>
            </w:pPr>
            <w:r>
              <w:rPr>
                <w:rFonts w:ascii="Times New Roman" w:hAnsi="Times New Roman"/>
                <w:sz w:val="20"/>
              </w:rPr>
              <w:t>Signature</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sz w:val="20"/>
              </w:rPr>
            </w:pPr>
            <w:r>
              <w:rPr>
                <w:sz w:val="20"/>
              </w:rPr>
              <w:t>(Signature must conform in all respects to name of holder as specified on the face of this Warrant Certificate and must bear a signature guarantee by a FINRA member firm).</w:t>
            </w:r>
          </w:p>
        </w:tc>
      </w:tr>
      <w:tr>
        <w:trPr>
          <w:trHeight w:val="240" w:hRule="atLeast"/>
        </w:trPr>
        <w:tc>
          <w:tcPr>
            <w:tcW w:w="5684" w:type="dxa"/>
            <w:gridSpan w:val="3"/>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Warrant may be exercised at the following addresses: By hand at:</w:t>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811" w:type="dxa"/>
            <w:tcBorders/>
            <w:vAlign w:val="center"/>
          </w:tcPr>
          <w:p>
            <w:pPr>
              <w:pStyle w:val="TableContents"/>
              <w:bidi w:val="0"/>
              <w:spacing w:before="0" w:after="283"/>
              <w:jc w:val="left"/>
              <w:rPr>
                <w:sz w:val="4"/>
                <w:szCs w:val="4"/>
              </w:rPr>
            </w:pPr>
            <w:r>
              <w:rPr>
                <w:sz w:val="4"/>
                <w:szCs w:val="4"/>
              </w:rPr>
            </w:r>
          </w:p>
        </w:tc>
        <w:tc>
          <w:tcPr>
            <w:tcW w:w="3873" w:type="dxa"/>
            <w:gridSpan w:val="2"/>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932" w:type="dxa"/>
            <w:gridSpan w:val="2"/>
            <w:tcBorders/>
            <w:vAlign w:val="center"/>
          </w:tcPr>
          <w:p>
            <w:pPr>
              <w:pStyle w:val="TableContents"/>
              <w:bidi w:val="0"/>
              <w:spacing w:before="0" w:after="283"/>
              <w:jc w:val="left"/>
              <w:rPr>
                <w:sz w:val="4"/>
                <w:szCs w:val="4"/>
              </w:rPr>
            </w:pPr>
            <w:r>
              <w:rPr>
                <w:sz w:val="4"/>
                <w:szCs w:val="4"/>
              </w:rPr>
            </w:r>
          </w:p>
        </w:tc>
      </w:tr>
      <w:tr>
        <w:trPr/>
        <w:tc>
          <w:tcPr>
            <w:tcW w:w="1811" w:type="dxa"/>
            <w:tcBorders/>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 w:type="dxa"/>
            <w:tcBorders/>
            <w:vAlign w:val="bottom"/>
          </w:tcPr>
          <w:p>
            <w:pPr>
              <w:pStyle w:val="TableContents"/>
              <w:bidi w:val="0"/>
              <w:spacing w:before="0" w:after="283"/>
              <w:jc w:val="left"/>
              <w:rPr/>
            </w:pPr>
            <w:r>
              <w:rPr/>
              <w:t> </w:t>
            </w:r>
          </w:p>
        </w:tc>
        <w:tc>
          <w:tcPr>
            <w:tcW w:w="3770"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252"/>
        <w:gridCol w:w="266"/>
        <w:gridCol w:w="4477"/>
        <w:gridCol w:w="175"/>
        <w:gridCol w:w="405"/>
        <w:gridCol w:w="120"/>
        <w:gridCol w:w="46"/>
        <w:gridCol w:w="124"/>
        <w:gridCol w:w="4340"/>
      </w:tblGrid>
      <w:tr>
        <w:trPr/>
        <w:tc>
          <w:tcPr>
            <w:tcW w:w="252"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4477"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mail at:</w:t>
            </w:r>
          </w:p>
        </w:tc>
        <w:tc>
          <w:tcPr>
            <w:tcW w:w="175"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1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sz w:val="20"/>
              </w:rPr>
            </w:pPr>
            <w:r>
              <w:rPr>
                <w:sz w:val="20"/>
              </w:rPr>
              <w:t>[Instructions as to form and delivery of Warrant Securities and, if applicable, Warrant Certificates evidencing Warrants for the number of Warrant Securities remaining unexercised—complete as appropriate.]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91"/>
        <w:gridCol w:w="134"/>
        <w:gridCol w:w="3820"/>
        <w:gridCol w:w="116"/>
        <w:gridCol w:w="351"/>
        <w:gridCol w:w="116"/>
        <w:gridCol w:w="680"/>
        <w:gridCol w:w="116"/>
        <w:gridCol w:w="3981"/>
      </w:tblGrid>
      <w:tr>
        <w:trPr/>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______________ hereby sells, assigns and transfers unto:</w:t>
            </w:r>
          </w:p>
        </w:tc>
      </w:tr>
      <w:tr>
        <w:trPr>
          <w:trHeight w:val="240" w:hRule="atLeast"/>
        </w:trPr>
        <w:tc>
          <w:tcPr>
            <w:tcW w:w="4845" w:type="dxa"/>
            <w:gridSpan w:val="3"/>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4845" w:type="dxa"/>
            <w:gridSpan w:val="3"/>
            <w:tcBorders>
              <w:bottom w:val="single" w:sz="2" w:space="0" w:color="000000"/>
            </w:tcBorders>
            <w:tcMar>
              <w:bottom w:w="28" w:type="dxa"/>
            </w:tcMa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3981" w:type="dxa"/>
            <w:tcBorders>
              <w:bottom w:val="single" w:sz="2" w:space="0" w:color="000000"/>
            </w:tcBorders>
            <w:tcMar>
              <w:bottom w:w="28" w:type="dxa"/>
            </w:tcMar>
          </w:tcPr>
          <w:p>
            <w:pPr>
              <w:pStyle w:val="TableContents"/>
              <w:bidi w:val="0"/>
              <w:spacing w:before="0" w:after="283"/>
              <w:jc w:val="left"/>
              <w:rPr/>
            </w:pPr>
            <w:r>
              <w:rPr/>
              <w:t> </w:t>
            </w:r>
          </w:p>
        </w:tc>
      </w:tr>
      <w:tr>
        <w:trPr/>
        <w:tc>
          <w:tcPr>
            <w:tcW w:w="4845" w:type="dxa"/>
            <w:gridSpan w:val="3"/>
            <w:tcBorders/>
          </w:tcPr>
          <w:p>
            <w:pPr>
              <w:pStyle w:val="TableContents"/>
              <w:bidi w:val="0"/>
              <w:spacing w:before="0" w:after="283"/>
              <w:jc w:val="left"/>
              <w:rPr/>
            </w:pPr>
            <w:r>
              <w:rPr/>
              <w:t>(Please print name and address including zip code)</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Please print Social Security or other identifying number</w:t>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pPr>
            <w:r>
              <w:rPr/>
              <w:t>the right represented by the within Warrant to purchase __________ shares of [Title of Warrant Securities] of Kodiak Sciences Inc. to which the within Warrant relates and appoints ____________________ attorney to transfer such right on the books of the Warrant Agent with full power of substitution in the premises.</w:t>
            </w:r>
          </w:p>
        </w:tc>
      </w:tr>
      <w:tr>
        <w:trPr>
          <w:trHeight w:val="240" w:hRule="atLeast"/>
        </w:trPr>
        <w:tc>
          <w:tcPr>
            <w:tcW w:w="891" w:type="dxa"/>
            <w:tcBorders/>
            <w:vAlign w:val="center"/>
          </w:tcPr>
          <w:p>
            <w:pPr>
              <w:pStyle w:val="TableContents"/>
              <w:bidi w:val="0"/>
              <w:spacing w:before="0" w:after="283"/>
              <w:jc w:val="left"/>
              <w:rPr>
                <w:sz w:val="4"/>
                <w:szCs w:val="4"/>
              </w:rPr>
            </w:pPr>
            <w:r>
              <w:rPr>
                <w:sz w:val="4"/>
                <w:szCs w:val="4"/>
              </w:rPr>
            </w:r>
          </w:p>
        </w:tc>
        <w:tc>
          <w:tcPr>
            <w:tcW w:w="3954" w:type="dxa"/>
            <w:gridSpan w:val="2"/>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891" w:type="dxa"/>
            <w:tcBorders/>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134"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0"/>
              <w:jc w:val="left"/>
              <w:rPr>
                <w:u w:val="single"/>
              </w:rPr>
            </w:pPr>
            <w:r>
              <w:rPr>
                <w:u w:val="single"/>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398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9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Signature</w:t>
            </w:r>
          </w:p>
        </w:tc>
      </w:tr>
      <w:tr>
        <w:trPr>
          <w:trHeight w:val="24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center"/>
              <w:rPr/>
            </w:pPr>
            <w:r>
              <w:rPr/>
              <w:t>(Signature must conform in all respects to name of holder as specified on the face of the Warrant)</w:t>
            </w:r>
          </w:p>
        </w:tc>
      </w:tr>
      <w:tr>
        <w:trPr>
          <w:trHeight w:val="240" w:hRule="atLeast"/>
        </w:trPr>
        <w:tc>
          <w:tcPr>
            <w:tcW w:w="4845" w:type="dxa"/>
            <w:gridSpan w:val="3"/>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796" w:type="dxa"/>
            <w:gridSpan w:val="2"/>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Pr>
          <w:p>
            <w:pPr>
              <w:pStyle w:val="TableContents"/>
              <w:bidi w:val="0"/>
              <w:spacing w:before="0" w:after="283"/>
              <w:jc w:val="left"/>
              <w:rPr/>
            </w:pPr>
            <w:r>
              <w:rPr/>
              <w:t>Signature Guaranteed</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sz w:val="4"/>
                <w:szCs w:val="4"/>
              </w:rPr>
            </w:pPr>
            <w:r>
              <w:rPr>
                <w:sz w:val="4"/>
                <w:szCs w:val="4"/>
              </w:rPr>
            </w:r>
          </w:p>
        </w:tc>
      </w:tr>
      <w:tr>
        <w:trPr/>
        <w:tc>
          <w:tcPr>
            <w:tcW w:w="4845" w:type="dxa"/>
            <w:gridSpan w:val="3"/>
            <w:tcBorders>
              <w:bottom w:val="single" w:sz="2" w:space="0" w:color="000000"/>
            </w:tcBorders>
            <w:tcMar>
              <w:bottom w:w="28" w:type="dxa"/>
            </w:tcMa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68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9" w:name="d143488dex47.htm"/>
      <w:bookmarkStart w:id="40" w:name="ksd143488dex47"/>
      <w:bookmarkEnd w:id="39"/>
      <w:bookmarkEnd w:id="40"/>
      <w:r>
        <w:rPr>
          <w:rFonts w:ascii="Times New Roman" w:hAnsi="Times New Roman"/>
          <w:b/>
          <w:sz w:val="20"/>
        </w:rPr>
        <w:t xml:space="preserve">Exhibit 4.7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FORM OF DEBT SECURITIES WARRANT AGREEMENT </w:t>
      </w:r>
    </w:p>
    <w:p>
      <w:pPr>
        <w:pStyle w:val="TextBody"/>
        <w:bidi w:val="0"/>
        <w:spacing w:before="240" w:after="0"/>
        <w:jc w:val="left"/>
        <w:rPr>
          <w:rFonts w:ascii="Times New Roman" w:hAnsi="Times New Roman"/>
          <w:sz w:val="20"/>
        </w:rPr>
      </w:pPr>
      <w:r>
        <w:rPr>
          <w:rFonts w:ascii="Times New Roman" w:hAnsi="Times New Roman"/>
          <w:b/>
          <w:sz w:val="20"/>
        </w:rPr>
        <w:t>THIS DEBT SECURITIES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KODIAK 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entered into an indenture dated as of [] (the “</w:t>
      </w:r>
      <w:r>
        <w:rPr>
          <w:rFonts w:ascii="Times New Roman" w:hAnsi="Times New Roman"/>
          <w:b/>
          <w:i/>
          <w:sz w:val="20"/>
        </w:rPr>
        <w:t>Indenture</w:t>
      </w:r>
      <w:r>
        <w:rPr>
          <w:rFonts w:ascii="Times New Roman" w:hAnsi="Times New Roman"/>
          <w:sz w:val="20"/>
        </w:rPr>
        <w:t>”), with [], as trustee (such trustee, and any successors to such trustee, herein called the “</w:t>
      </w:r>
      <w:r>
        <w:rPr>
          <w:rFonts w:ascii="Times New Roman" w:hAnsi="Times New Roman"/>
          <w:b/>
          <w:i/>
          <w:sz w:val="20"/>
        </w:rPr>
        <w:t>Trustee</w:t>
      </w:r>
      <w:r>
        <w:rPr>
          <w:rFonts w:ascii="Times New Roman" w:hAnsi="Times New Roman"/>
          <w:sz w:val="20"/>
        </w:rPr>
        <w:t>”), providing for the issuance from time to time of its debt securities, to be issued in one or more series as provided in the Indenture (the “</w:t>
      </w:r>
      <w:r>
        <w:rPr>
          <w:rFonts w:ascii="Times New Roman" w:hAnsi="Times New Roman"/>
          <w:b/>
          <w:i/>
          <w:sz w:val="20"/>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Debt Securities purchasable through exercise of Warrants] (the “</w:t>
      </w:r>
      <w:r>
        <w:rPr>
          <w:rFonts w:ascii="Times New Roman" w:hAnsi="Times New Roman"/>
          <w:b/>
          <w:i/>
          <w:sz w:val="20"/>
        </w:rPr>
        <w:t>Warrant Debt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 w:hAnsi="Times New Roman"/>
          <w:b/>
          <w:i/>
          <w:sz w:val="20"/>
        </w:rPr>
        <w:t>If Other Securities and Warrants</w:t>
      </w:r>
      <w:r>
        <w:rPr>
          <w:rFonts w:ascii="Times New Roman" w:hAnsi="Times New Roman"/>
          <w:sz w:val="20"/>
        </w:rPr>
        <w:t xml:space="preserve"> —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24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 Warrant Price.</w:t>
      </w:r>
      <w:r>
        <w:rPr>
          <w:rFonts w:ascii="Times New Roman" w:hAnsi="Times New Roman"/>
          <w:sz w:val="20"/>
        </w:rPr>
        <w:t xml:space="preserve"> 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Debt Securities, a number of shares sufficient to provide for the exercise of the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Holder of Warrant Debt Securities Conferred by Warrants or Warrant Certificates. </w:t>
      </w:r>
      <w:r>
        <w:rPr>
          <w:rFonts w:ascii="Times New Roman" w:hAnsi="Times New Roman"/>
          <w:sz w:val="20"/>
        </w:rPr>
        <w:t xml:space="preserve">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Holder of Warrant Certificate May Enforce Rights.</w:t>
      </w:r>
      <w:r>
        <w:rPr>
          <w:rFonts w:ascii="Times New Roman" w:hAnsi="Times New Roman"/>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Merger, Sale, Conveyance or Lease.</w:t>
      </w:r>
      <w:r>
        <w:rPr>
          <w:rFonts w:ascii="Times New Roman" w:hAnsi="Times New Roman"/>
          <w:sz w:val="20"/>
        </w:rPr>
        <w:t xml:space="preserve"> 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Kodiak Sciences Inc., 1250 Page Mill Road, Palo Alto, California 94304, Attention: [] (or such other address as shall be specified in writing by the Warrant Agent or by the Company).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5"/>
        <w:gridCol w:w="70"/>
        <w:gridCol w:w="2367"/>
      </w:tblGrid>
      <w:tr>
        <w:trPr/>
        <w:tc>
          <w:tcPr>
            <w:tcW w:w="164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Kodiak Sciences Inc., as Company</w:t>
            </w:r>
          </w:p>
        </w:tc>
      </w:tr>
      <w:tr>
        <w:trPr>
          <w:trHeight w:val="240" w:hRule="atLeast"/>
        </w:trPr>
        <w:tc>
          <w:tcPr>
            <w:tcW w:w="164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1645"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c>
          <w:tcPr>
            <w:tcW w:w="1645" w:type="dxa"/>
            <w:tcBorders/>
          </w:tcPr>
          <w:p>
            <w:pPr>
              <w:pStyle w:val="TableContents"/>
              <w:bidi w:val="0"/>
              <w:spacing w:before="0" w:after="283"/>
              <w:jc w:val="left"/>
              <w:rPr/>
            </w:pPr>
            <w:r>
              <w:rPr/>
              <w:t>Name: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c>
          <w:tcPr>
            <w:tcW w:w="1645" w:type="dxa"/>
            <w:tcBorders/>
          </w:tcPr>
          <w:p>
            <w:pPr>
              <w:pStyle w:val="TableContents"/>
              <w:bidi w:val="0"/>
              <w:spacing w:before="0" w:after="283"/>
              <w:jc w:val="left"/>
              <w:rPr/>
            </w:pPr>
            <w:r>
              <w:rPr/>
              <w:t>Title: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4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1645" w:type="dxa"/>
            <w:tcBorders/>
          </w:tcPr>
          <w:p>
            <w:pPr>
              <w:pStyle w:val="TableContents"/>
              <w:bidi w:val="0"/>
              <w:spacing w:before="0" w:after="283"/>
              <w:jc w:val="left"/>
              <w:rPr>
                <w:b/>
              </w:rPr>
            </w:pPr>
            <w:r>
              <w:rPr>
                <w:b/>
              </w:rPr>
              <w:t>A</w:t>
            </w:r>
            <w:r>
              <w:rPr>
                <w:b/>
                <w:sz w:val="20"/>
              </w:rPr>
              <w:t>TTEST</w:t>
            </w:r>
            <w:r>
              <w:rPr>
                <w:b/>
              </w:rPr>
              <w:t>:</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4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1645"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c>
          <w:tcPr>
            <w:tcW w:w="1645" w:type="dxa"/>
            <w:tcBorders/>
          </w:tcPr>
          <w:p>
            <w:pPr>
              <w:pStyle w:val="TableContents"/>
              <w:bidi w:val="0"/>
              <w:spacing w:before="0" w:after="283"/>
              <w:jc w:val="left"/>
              <w:rPr/>
            </w:pPr>
            <w:r>
              <w:rPr/>
              <w:t>Name: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c>
          <w:tcPr>
            <w:tcW w:w="1645" w:type="dxa"/>
            <w:tcBorders/>
          </w:tcPr>
          <w:p>
            <w:pPr>
              <w:pStyle w:val="TableContents"/>
              <w:bidi w:val="0"/>
              <w:spacing w:before="0" w:after="283"/>
              <w:jc w:val="left"/>
              <w:rPr/>
            </w:pPr>
            <w:r>
              <w:rPr/>
              <w:t>Title:</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64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1645" w:type="dxa"/>
            <w:tcBorders/>
          </w:tcPr>
          <w:p>
            <w:pPr>
              <w:pStyle w:val="TableContents"/>
              <w:bidi w:val="0"/>
              <w:spacing w:before="0" w:after="283"/>
              <w:jc w:val="left"/>
              <w:rPr>
                <w:b/>
              </w:rPr>
            </w:pPr>
            <w:r>
              <w:rPr>
                <w:b/>
              </w:rPr>
              <w:t>A</w:t>
            </w:r>
            <w:r>
              <w:rPr>
                <w:b/>
                <w:sz w:val="20"/>
              </w:rPr>
              <w:t>TTEST</w:t>
            </w:r>
            <w:r>
              <w:rPr>
                <w:b/>
              </w:rPr>
              <w:t>:</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2367"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KODIAK SCIENCES INC. DEBT SECURITIES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KODIAK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12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hAnsi="Times New Roman"/>
          <w:b/>
          <w:i/>
          <w:sz w:val="20"/>
        </w:rPr>
        <w:t>Warrant Debt Securities</w:t>
      </w:r>
      <w:r>
        <w:rPr>
          <w:rFonts w:ascii="Times New Roman" w:hAnsi="Times New Roman"/>
          <w:sz w:val="20"/>
        </w:rPr>
        <w:t>”), of Kodiak Sciences Inc. (the “</w:t>
      </w:r>
      <w:r>
        <w:rPr>
          <w:rFonts w:ascii="Times New Roman" w:hAnsi="Times New Roman"/>
          <w:b/>
          <w:i/>
          <w:sz w:val="20"/>
        </w:rPr>
        <w:t>Company</w:t>
      </w:r>
      <w:r>
        <w:rPr>
          <w:rFonts w:ascii="Times New Roman" w:hAnsi="Times New Roman"/>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hAnsi="Times New Roman"/>
          <w:b/>
          <w:i/>
          <w:sz w:val="20"/>
        </w:rPr>
        <w:t>Warrant Price</w:t>
      </w:r>
      <w:r>
        <w:rPr>
          <w:rFonts w:ascii="Times New Roman" w:hAnsi="Times New Roman"/>
          <w:sz w:val="20"/>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Warrant Debt Securities to be issued and delivered upon the exercise of Warrants evidenced by this Warrant Certificate will be issued under and in accordance with an Indenture, dated as of [] (the “</w:t>
      </w:r>
      <w:r>
        <w:rPr>
          <w:rFonts w:ascii="Times New Roman" w:hAnsi="Times New Roman"/>
          <w:b/>
          <w:i/>
          <w:sz w:val="20"/>
        </w:rPr>
        <w:t>Indenture</w:t>
      </w:r>
      <w:r>
        <w:rPr>
          <w:rFonts w:ascii="Times New Roman" w:hAnsi="Times New Roman"/>
          <w:sz w:val="20"/>
        </w:rPr>
        <w:t>”), between the Company and [], as trustee (such trustee, and any successors to such trustee, the “</w:t>
      </w:r>
      <w:r>
        <w:rPr>
          <w:rFonts w:ascii="Times New Roman" w:hAnsi="Times New Roman"/>
          <w:b/>
          <w:i/>
          <w:sz w:val="20"/>
        </w:rPr>
        <w:t>Trustee</w:t>
      </w:r>
      <w:r>
        <w:rPr>
          <w:rFonts w:ascii="Times New Roman" w:hAnsi="Times New Roman"/>
          <w:sz w:val="20"/>
        </w:rPr>
        <w:t xml:space="preserve">”)] and will be subject to the terms and provisions contained in the Warrant Debt Securities and in the Indenture. Copies of the Indenture, including the form of the Warrant Debt Securities, are on file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414"/>
        <w:gridCol w:w="63"/>
        <w:gridCol w:w="2605"/>
      </w:tblGrid>
      <w:tr>
        <w:trPr/>
        <w:tc>
          <w:tcPr>
            <w:tcW w:w="141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Dated:</w:t>
            </w:r>
          </w:p>
        </w:tc>
        <w:tc>
          <w:tcPr>
            <w:tcW w:w="63" w:type="dxa"/>
            <w:tcBorders/>
            <w:vAlign w:val="bottom"/>
          </w:tcPr>
          <w:p>
            <w:pPr>
              <w:pStyle w:val="TableContents"/>
              <w:bidi w:val="0"/>
              <w:spacing w:before="0" w:after="283"/>
              <w:jc w:val="left"/>
              <w:rPr/>
            </w:pPr>
            <w:r>
              <w:rPr/>
              <w:t> </w:t>
            </w:r>
          </w:p>
        </w:tc>
        <w:tc>
          <w:tcPr>
            <w:tcW w:w="2605" w:type="dxa"/>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KODIAK SCIENCES INC.</w:t>
            </w:r>
            <w:r>
              <w:rPr/>
              <w:t>, as Company</w:t>
            </w:r>
          </w:p>
        </w:tc>
      </w:tr>
      <w:tr>
        <w:trPr>
          <w:trHeight w:val="240" w:hRule="atLeast"/>
        </w:trPr>
        <w:tc>
          <w:tcPr>
            <w:tcW w:w="1414" w:type="dxa"/>
            <w:tcBorders/>
            <w:vAlign w:val="center"/>
          </w:tcPr>
          <w:p>
            <w:pPr>
              <w:pStyle w:val="TableContents"/>
              <w:bidi w:val="0"/>
              <w:spacing w:before="0" w:after="283"/>
              <w:jc w:val="left"/>
              <w:rPr>
                <w:sz w:val="4"/>
                <w:szCs w:val="4"/>
              </w:rPr>
            </w:pPr>
            <w:r>
              <w:rPr>
                <w:sz w:val="4"/>
                <w:szCs w:val="4"/>
              </w:rPr>
            </w:r>
          </w:p>
        </w:tc>
        <w:tc>
          <w:tcPr>
            <w:tcW w:w="2668"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414" w:type="dxa"/>
            <w:tcBorders/>
            <w:vAlign w:val="center"/>
          </w:tcPr>
          <w:p>
            <w:pPr>
              <w:pStyle w:val="TableContents"/>
              <w:bidi w:val="0"/>
              <w:spacing w:before="0" w:after="283"/>
              <w:jc w:val="left"/>
              <w:rPr>
                <w:sz w:val="4"/>
                <w:szCs w:val="4"/>
              </w:rPr>
            </w:pPr>
            <w:r>
              <w:rPr>
                <w:sz w:val="4"/>
                <w:szCs w:val="4"/>
              </w:rPr>
            </w:r>
          </w:p>
        </w:tc>
        <w:tc>
          <w:tcPr>
            <w:tcW w:w="2668"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b/>
              </w:rPr>
              <w:t>ATTEST</w:t>
            </w:r>
            <w:r>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COUNTERSIGNED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414" w:type="dxa"/>
            <w:tcBorders/>
            <w:vAlign w:val="center"/>
          </w:tcPr>
          <w:p>
            <w:pPr>
              <w:pStyle w:val="TableContents"/>
              <w:bidi w:val="0"/>
              <w:spacing w:before="0" w:after="283"/>
              <w:jc w:val="left"/>
              <w:rPr>
                <w:sz w:val="4"/>
                <w:szCs w:val="4"/>
              </w:rPr>
            </w:pPr>
            <w:r>
              <w:rPr>
                <w:sz w:val="4"/>
                <w:szCs w:val="4"/>
              </w:rPr>
            </w:r>
          </w:p>
        </w:tc>
        <w:tc>
          <w:tcPr>
            <w:tcW w:w="2668"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pPr>
            <w:r>
              <w:rPr/>
              <w:t>Name: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pPr>
            <w:r>
              <w:rPr/>
              <w:t>Title:</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414" w:type="dxa"/>
            <w:tcBorders/>
            <w:vAlign w:val="center"/>
          </w:tcPr>
          <w:p>
            <w:pPr>
              <w:pStyle w:val="TableContents"/>
              <w:bidi w:val="0"/>
              <w:spacing w:before="0" w:after="283"/>
              <w:jc w:val="left"/>
              <w:rPr>
                <w:sz w:val="4"/>
                <w:szCs w:val="4"/>
              </w:rPr>
            </w:pPr>
            <w:r>
              <w:rPr>
                <w:sz w:val="4"/>
                <w:szCs w:val="4"/>
              </w:rPr>
            </w:r>
          </w:p>
        </w:tc>
        <w:tc>
          <w:tcPr>
            <w:tcW w:w="2668"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b/>
              </w:rPr>
              <w:t>ATTEST</w:t>
            </w:r>
            <w:r>
              <w:rP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283"/>
              <w:jc w:val="left"/>
              <w:rPr>
                <w:sz w:val="4"/>
                <w:szCs w:val="4"/>
              </w:rPr>
            </w:pPr>
            <w:r>
              <w:rPr>
                <w:sz w:val="4"/>
                <w:szCs w:val="4"/>
              </w:rPr>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 principal amount of the [TITLE OF WARRANT DEBT SECURITIES] (the “</w:t>
      </w:r>
      <w:r>
        <w:rPr>
          <w:rFonts w:ascii="Times New Roman" w:hAnsi="Times New Roman"/>
          <w:b/>
          <w:i/>
          <w:sz w:val="20"/>
        </w:rPr>
        <w:t>Warrant Debt Securities</w:t>
      </w:r>
      <w:r>
        <w:rPr>
          <w:rFonts w:ascii="Times New Roman" w:hAnsi="Times New Roman"/>
          <w:sz w:val="20"/>
        </w:rPr>
        <w:t xml:space="preserve">”), of Kodiak Sciences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Kodiak Sciences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5"/>
        <w:gridCol w:w="109"/>
        <w:gridCol w:w="4043"/>
        <w:gridCol w:w="109"/>
        <w:gridCol w:w="394"/>
        <w:gridCol w:w="109"/>
        <w:gridCol w:w="606"/>
        <w:gridCol w:w="109"/>
        <w:gridCol w:w="4121"/>
      </w:tblGrid>
      <w:tr>
        <w:trPr/>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4043" w:type="dxa"/>
            <w:tcBorders/>
          </w:tcPr>
          <w:p>
            <w:pPr>
              <w:pStyle w:val="TableContents"/>
              <w:bidi w:val="0"/>
              <w:spacing w:before="0" w:after="283"/>
              <w:jc w:val="left"/>
              <w:rPr>
                <w:u w:val="single"/>
              </w:rPr>
            </w:pPr>
            <w:r>
              <w:rPr>
                <w:u w:val="single"/>
              </w:rPr>
              <w:t>                 </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Name: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121" w:type="dxa"/>
            <w:tcBorders>
              <w:bottom w:val="single" w:sz="2" w:space="0" w:color="000000"/>
            </w:tcBorders>
            <w:tcMar>
              <w:bottom w:w="28" w:type="dxa"/>
            </w:tcMar>
          </w:tcPr>
          <w:p>
            <w:pPr>
              <w:pStyle w:val="TableContents"/>
              <w:bidi w:val="0"/>
              <w:spacing w:before="0" w:after="283"/>
              <w:jc w:val="left"/>
              <w:rPr/>
            </w:pPr>
            <w:r>
              <w:rPr/>
              <w:t> </w:t>
            </w:r>
          </w:p>
        </w:tc>
      </w:tr>
      <w:tr>
        <w:trPr/>
        <w:tc>
          <w:tcPr>
            <w:tcW w:w="60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04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121" w:type="dxa"/>
            <w:tcBorders/>
          </w:tcPr>
          <w:p>
            <w:pPr>
              <w:pStyle w:val="TableContents"/>
              <w:bidi w:val="0"/>
              <w:spacing w:before="0" w:after="283"/>
              <w:jc w:val="center"/>
              <w:rPr/>
            </w:pPr>
            <w:r>
              <w:rPr/>
              <w:t>Please Print</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t> </w:t>
      </w:r>
    </w:p>
    <w:tbl>
      <w:tblPr>
        <w:tblW w:w="2500" w:type="pct"/>
        <w:jc w:val="left"/>
        <w:tblInd w:w="0" w:type="dxa"/>
        <w:tblLayout w:type="fixed"/>
        <w:tblCellMar>
          <w:top w:w="0" w:type="dxa"/>
          <w:left w:w="0" w:type="dxa"/>
          <w:bottom w:w="0" w:type="dxa"/>
          <w:right w:w="0" w:type="dxa"/>
        </w:tblCellMar>
      </w:tblPr>
      <w:tblGrid>
        <w:gridCol w:w="1610"/>
        <w:gridCol w:w="60"/>
        <w:gridCol w:w="3432"/>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0"/>
              <w:jc w:val="left"/>
              <w:rPr>
                <w:u w:val="single"/>
              </w:rPr>
            </w:pPr>
            <w:r>
              <w:rPr>
                <w:u w:val="single"/>
              </w:rPr>
              <w:t xml:space="preserve">                              </w:t>
            </w:r>
          </w:p>
        </w:tc>
      </w:tr>
      <w:tr>
        <w:trPr/>
        <w:tc>
          <w:tcPr>
            <w:tcW w:w="51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(Insert Social Security or Other Identifying Number of Holder)</w:t>
            </w:r>
          </w:p>
        </w:tc>
      </w:tr>
      <w:tr>
        <w:trPr>
          <w:trHeight w:val="240" w:hRule="atLeast"/>
        </w:trPr>
        <w:tc>
          <w:tcPr>
            <w:tcW w:w="161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1610" w:type="dxa"/>
            <w:tcBorders/>
          </w:tcPr>
          <w:p>
            <w:pPr>
              <w:pStyle w:val="TableContents"/>
              <w:bidi w:val="0"/>
              <w:spacing w:before="0" w:after="283"/>
              <w:jc w:val="left"/>
              <w:rPr/>
            </w:pPr>
            <w:r>
              <w:rPr/>
              <w:t>Signature Guaranteed: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2" w:type="dxa"/>
            <w:tcBorders>
              <w:bottom w:val="single" w:sz="2" w:space="0" w:color="000000"/>
            </w:tcBorders>
            <w:tcMar>
              <w:bottom w:w="28" w:type="dxa"/>
            </w:tcMar>
          </w:tcPr>
          <w:p>
            <w:pPr>
              <w:pStyle w:val="TableContents"/>
              <w:bidi w:val="0"/>
              <w:spacing w:before="0" w:after="283"/>
              <w:jc w:val="left"/>
              <w:rPr/>
            </w:pPr>
            <w:r>
              <w:rPr/>
              <w:t> </w:t>
            </w:r>
          </w:p>
        </w:tc>
      </w:tr>
      <w:tr>
        <w:trPr/>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2" w:type="dxa"/>
            <w:tcBorders/>
            <w:vAlign w:val="bottom"/>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Debt Securities and, if applicable, Warrant Certificates evidencing Warrants for the number of Warrant Debt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8"/>
        <w:gridCol w:w="110"/>
        <w:gridCol w:w="490"/>
        <w:gridCol w:w="124"/>
        <w:gridCol w:w="4613"/>
      </w:tblGrid>
      <w:tr>
        <w:trPr/>
        <w:tc>
          <w:tcPr>
            <w:tcW w:w="486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613" w:type="dxa"/>
            <w:tcBorders/>
            <w:vAlign w:val="center"/>
          </w:tcPr>
          <w:p>
            <w:pPr>
              <w:pStyle w:val="TableContents"/>
              <w:bidi w:val="0"/>
              <w:spacing w:before="0" w:after="283"/>
              <w:jc w:val="left"/>
              <w:rPr>
                <w:sz w:val="4"/>
                <w:szCs w:val="4"/>
              </w:rPr>
            </w:pPr>
            <w:r>
              <w:rPr>
                <w:sz w:val="4"/>
                <w:szCs w:val="4"/>
              </w:rPr>
            </w:r>
          </w:p>
        </w:tc>
      </w:tr>
      <w:tr>
        <w:trPr/>
        <w:tc>
          <w:tcPr>
            <w:tcW w:w="4868" w:type="dxa"/>
            <w:tcBorders/>
            <w:vAlign w:val="bottom"/>
          </w:tcPr>
          <w:p>
            <w:pPr>
              <w:pStyle w:val="TableContents"/>
              <w:bidi w:val="0"/>
              <w:spacing w:before="0" w:after="283"/>
              <w:jc w:val="left"/>
              <w:rPr>
                <w:u w:val="single"/>
              </w:rPr>
            </w:pPr>
            <w:r>
              <w:rPr>
                <w:u w:val="single"/>
              </w:rPr>
              <w:t>                  </w:t>
            </w:r>
          </w:p>
        </w:tc>
        <w:tc>
          <w:tcPr>
            <w:tcW w:w="11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sz w:val="4"/>
                <w:szCs w:val="4"/>
              </w:rPr>
            </w:pPr>
            <w:r>
              <w:rPr>
                <w:sz w:val="4"/>
                <w:szCs w:val="4"/>
              </w:rPr>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461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868" w:type="dxa"/>
            <w:tcBorders/>
            <w:vAlign w:val="bottom"/>
          </w:tcPr>
          <w:p>
            <w:pPr>
              <w:pStyle w:val="TableContents"/>
              <w:bidi w:val="0"/>
              <w:spacing w:before="0" w:after="283"/>
              <w:jc w:val="left"/>
              <w:rPr/>
            </w:pPr>
            <w:r>
              <w:rPr/>
              <w:t>(Please print name and address including zip code)</w:t>
            </w:r>
          </w:p>
        </w:tc>
        <w:tc>
          <w:tcPr>
            <w:tcW w:w="11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 aggregate principal amount of [Title of Warrant Debt Securities] of Kodiak Sciences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1"/>
        <w:gridCol w:w="108"/>
        <w:gridCol w:w="4001"/>
        <w:gridCol w:w="108"/>
        <w:gridCol w:w="393"/>
        <w:gridCol w:w="108"/>
        <w:gridCol w:w="602"/>
        <w:gridCol w:w="108"/>
        <w:gridCol w:w="4176"/>
      </w:tblGrid>
      <w:tr>
        <w:trPr/>
        <w:tc>
          <w:tcPr>
            <w:tcW w:w="6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76" w:type="dxa"/>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pPr>
            <w:r>
              <w:rPr/>
              <w:t>Dated: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001"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pPr>
            <w:r>
              <w:rPr/>
              <w:t>Name: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76" w:type="dxa"/>
            <w:tcBorders>
              <w:bottom w:val="single" w:sz="2" w:space="0" w:color="000000"/>
            </w:tcBorders>
            <w:tcMar>
              <w:bottom w:w="28" w:type="dxa"/>
            </w:tcMar>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00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76"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360" w:after="0"/>
        <w:jc w:val="left"/>
        <w:rPr>
          <w:rFonts w:ascii="Times New Roman" w:hAnsi="Times New Roman"/>
          <w:sz w:val="20"/>
        </w:rPr>
      </w:pPr>
      <w:r>
        <w:rPr>
          <w:rFonts w:ascii="Times New Roman" w:hAnsi="Times New Roman"/>
          <w:sz w:val="20"/>
        </w:rPr>
        <w:t xml:space="preserve">Signature Guaranteed </w:t>
      </w:r>
    </w:p>
    <w:p>
      <w:pPr>
        <w:pStyle w:val="TextBody"/>
        <w:bidi w:val="0"/>
        <w:spacing w:before="0" w:after="0"/>
        <w:jc w:val="left"/>
        <w:rPr>
          <w:u w:val="single"/>
        </w:rPr>
      </w:pPr>
      <w:r>
        <w:rPr>
          <w:u w:val="single"/>
        </w:rPr>
        <w:t xml:space="preserve">                        </w:t>
      </w:r>
    </w:p>
    <w:p>
      <w:pPr>
        <w:pStyle w:val="TextBody"/>
        <w:bidi w:val="0"/>
        <w:spacing w:before="0" w:after="0"/>
        <w:jc w:val="right"/>
        <w:rPr>
          <w:rFonts w:ascii="Times New Roman" w:hAnsi="Times New Roman"/>
          <w:b/>
          <w:sz w:val="20"/>
        </w:rPr>
      </w:pPr>
      <w:bookmarkStart w:id="41" w:name="d143488dex51.htm"/>
      <w:bookmarkStart w:id="42" w:name="ksd143488dex51"/>
      <w:bookmarkEnd w:id="41"/>
      <w:bookmarkEnd w:id="42"/>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David G. Peinsipp </w:t>
      </w:r>
    </w:p>
    <w:p>
      <w:pPr>
        <w:pStyle w:val="TextBody"/>
        <w:bidi w:val="0"/>
        <w:spacing w:before="0" w:after="0"/>
        <w:jc w:val="left"/>
        <w:rPr>
          <w:rFonts w:ascii="Times New Roman" w:hAnsi="Times New Roman"/>
          <w:sz w:val="20"/>
        </w:rPr>
      </w:pPr>
      <w:r>
        <w:rPr>
          <w:rFonts w:ascii="Times New Roman" w:hAnsi="Times New Roman"/>
          <w:sz w:val="20"/>
        </w:rPr>
        <w:t xml:space="preserve">T: (415) 693-2177 </w:t>
      </w:r>
    </w:p>
    <w:p>
      <w:pPr>
        <w:pStyle w:val="TextBody"/>
        <w:bidi w:val="0"/>
        <w:spacing w:before="0" w:after="0"/>
        <w:jc w:val="left"/>
        <w:rPr>
          <w:rFonts w:ascii="Times New Roman" w:hAnsi="Times New Roman"/>
          <w:sz w:val="20"/>
        </w:rPr>
      </w:pPr>
      <w:r>
        <w:rPr>
          <w:rFonts w:ascii="Times New Roman" w:hAnsi="Times New Roman"/>
          <w:sz w:val="20"/>
        </w:rPr>
        <w:t xml:space="preserve">dpeinsipp@cooley.com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Kodiak Sciences Inc. </w:t>
      </w:r>
    </w:p>
    <w:p>
      <w:pPr>
        <w:pStyle w:val="TextBody"/>
        <w:bidi w:val="0"/>
        <w:spacing w:before="0" w:after="0"/>
        <w:jc w:val="left"/>
        <w:rPr>
          <w:rFonts w:ascii="Times New Roman" w:hAnsi="Times New Roman"/>
          <w:sz w:val="20"/>
        </w:rPr>
      </w:pPr>
      <w:r>
        <w:rPr>
          <w:rFonts w:ascii="Times New Roman" w:hAnsi="Times New Roman"/>
          <w:sz w:val="20"/>
        </w:rPr>
        <w:t xml:space="preserve">1250 Page Mill Road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Kodiak Sciences Inc., a Delaware corporation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two prospectuses: (i) a base prospectus (the “</w:t>
      </w:r>
      <w:r>
        <w:rPr>
          <w:rFonts w:ascii="Times New Roman" w:hAnsi="Times New Roman"/>
          <w:b/>
          <w:i/>
          <w:sz w:val="20"/>
        </w:rPr>
        <w:t>Base Prospectus</w:t>
      </w:r>
      <w:r>
        <w:rPr>
          <w:rFonts w:ascii="Times New Roman" w:hAnsi="Times New Roman"/>
          <w:sz w:val="20"/>
        </w:rPr>
        <w:t>”) and (ii) a prospectus (the “</w:t>
      </w:r>
      <w:r>
        <w:rPr>
          <w:rFonts w:ascii="Times New Roman" w:hAnsi="Times New Roman"/>
          <w:b/>
          <w:i/>
          <w:sz w:val="20"/>
        </w:rPr>
        <w:t>ATM Prospectus</w:t>
      </w:r>
      <w:r>
        <w:rPr>
          <w:rFonts w:ascii="Times New Roman" w:hAnsi="Times New Roman"/>
          <w:sz w:val="20"/>
        </w:rPr>
        <w:t>”) covering up to $350 million of shares of the Company’s common stock, par value $0.0001 per share (“</w:t>
      </w:r>
      <w:r>
        <w:rPr>
          <w:rFonts w:ascii="Times New Roman" w:hAnsi="Times New Roman"/>
          <w:b/>
          <w:i/>
          <w:sz w:val="20"/>
        </w:rPr>
        <w:t>Common Stock</w:t>
      </w:r>
      <w:r>
        <w:rPr>
          <w:rFonts w:ascii="Times New Roman" w:hAnsi="Times New Roman"/>
          <w:sz w:val="20"/>
        </w:rPr>
        <w:t>”) that may be sold under the distribution agreement, dated October 20, 2026, between the Company and J.P. Morgan Securities LLC (such agreement, the “</w:t>
      </w:r>
      <w:r>
        <w:rPr>
          <w:rFonts w:ascii="Times New Roman" w:hAnsi="Times New Roman"/>
          <w:b/>
          <w:i/>
          <w:sz w:val="20"/>
        </w:rPr>
        <w:t>Distribution Agreement</w:t>
      </w:r>
      <w:r>
        <w:rPr>
          <w:rFonts w:ascii="Times New Roman" w:hAnsi="Times New Roman"/>
          <w:sz w:val="20"/>
        </w:rPr>
        <w:t>”, and such shares, the “</w:t>
      </w:r>
      <w:r>
        <w:rPr>
          <w:rFonts w:ascii="Times New Roman" w:hAnsi="Times New Roman"/>
          <w:b/>
          <w:i/>
          <w:sz w:val="20"/>
        </w:rPr>
        <w:t>ATM Shares</w:t>
      </w:r>
      <w:r>
        <w:rPr>
          <w:rFonts w:ascii="Times New Roman" w:hAnsi="Times New Roman"/>
          <w:sz w:val="20"/>
        </w:rPr>
        <w:t>”). The Base Prospectus provides that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and the ATM Prospectus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shares of Common Stock (the “</w:t>
            </w:r>
            <w:r>
              <w:rPr>
                <w:rFonts w:ascii="Times New Roman" w:hAnsi="Times New Roman"/>
                <w:b/>
                <w:i/>
                <w:sz w:val="20"/>
              </w:rPr>
              <w:t>Base Prospectus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par value $0.0001 per share, of the Company (the “</w:t>
            </w:r>
            <w:r>
              <w:rPr>
                <w:rFonts w:ascii="Times New Roman" w:hAnsi="Times New Roman"/>
                <w:b/>
                <w:i/>
                <w:sz w:val="20"/>
              </w:rPr>
              <w:t>Preferred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(the “</w:t>
            </w:r>
            <w:r>
              <w:rPr>
                <w:rFonts w:ascii="Times New Roman" w:hAnsi="Times New Roman"/>
                <w:b/>
                <w:i/>
                <w:sz w:val="20"/>
              </w:rPr>
              <w:t>Indenture</w:t>
            </w:r>
            <w:r>
              <w:rPr>
                <w:rFonts w:ascii="Times New Roman" w:hAnsi="Times New Roman"/>
                <w:sz w:val="20"/>
              </w:rPr>
              <w:t xml:space="preserve">”), in the form filed as Exhibit 4.3 to the Registration Statement and one or more indenture supplemental thereto with respect to any particular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 Preferred Stock, or Debt Securities (the “</w:t>
            </w:r>
            <w:r>
              <w:rPr>
                <w:rFonts w:ascii="Times New Roman" w:hAnsi="Times New Roman"/>
                <w:b/>
                <w:i/>
                <w:sz w:val="20"/>
              </w:rPr>
              <w:t>Warrants</w:t>
            </w:r>
            <w:r>
              <w:rPr>
                <w:rFonts w:ascii="Times New Roman" w:hAnsi="Times New Roman"/>
                <w:sz w:val="20"/>
              </w:rPr>
              <w:t>”), which may be issued under one or more warrant agreements, to be dated on or about the date of the first issuance of the Warrants thereunder, by and between a warrant agent to be selected by the Company (the “</w:t>
            </w:r>
            <w:r>
              <w:rPr>
                <w:rFonts w:ascii="Times New Roman" w:hAnsi="Times New Roman"/>
                <w:b/>
                <w:i/>
                <w:sz w:val="20"/>
              </w:rPr>
              <w:t>Warrant Agent</w:t>
            </w:r>
            <w:r>
              <w:rPr>
                <w:rFonts w:ascii="Times New Roman" w:hAnsi="Times New Roman"/>
                <w:sz w:val="20"/>
              </w:rPr>
              <w:t>”) and the Company, in the forms filed as Exhibits 4.5, 4.6 and 4.7, respectively, to the Registration Statement (each, a “</w:t>
            </w:r>
            <w:r>
              <w:rPr>
                <w:rFonts w:ascii="Times New Roman" w:hAnsi="Times New Roman"/>
                <w:b/>
                <w:i/>
                <w:sz w:val="20"/>
              </w:rPr>
              <w:t>Warrant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units consisting of any combination of Common Stock, Preferred Stock, Debt Securities, and Warrants (the “</w:t>
            </w:r>
            <w:r>
              <w:rPr>
                <w:rFonts w:ascii="Times New Roman" w:hAnsi="Times New Roman"/>
                <w:b/>
                <w:i/>
                <w:sz w:val="20"/>
              </w:rPr>
              <w:t>Units</w:t>
            </w:r>
            <w:r>
              <w:rPr>
                <w:rFonts w:ascii="Times New Roman" w:hAnsi="Times New Roman"/>
                <w:sz w:val="20"/>
              </w:rPr>
              <w:t>”), which may be issued under one or more unit agreements, to be dated on or about the date of the issuance of the Units thereunder, by and between a unit agent to be selected by the Company (the “</w:t>
            </w:r>
            <w:r>
              <w:rPr>
                <w:rFonts w:ascii="Times New Roman" w:hAnsi="Times New Roman"/>
                <w:b/>
                <w:i/>
                <w:sz w:val="20"/>
              </w:rPr>
              <w:t>Unit Agent</w:t>
            </w:r>
            <w:r>
              <w:rPr>
                <w:rFonts w:ascii="Times New Roman" w:hAnsi="Times New Roman"/>
                <w:sz w:val="20"/>
              </w:rPr>
              <w:t>”) and the Company (each, a “</w:t>
            </w:r>
            <w:r>
              <w:rPr>
                <w:rFonts w:ascii="Times New Roman" w:hAnsi="Times New Roman"/>
                <w:b/>
                <w:i/>
                <w:sz w:val="20"/>
              </w:rPr>
              <w:t>Unit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ATM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Shares, the Preferred Stock, the Debt Securities, the Warrants, the Units and the ATM Shares, plus any additional Common Stock, Preferred Stock, Debt Securities, Warrants and Units that may be registered pursuant to any registration statement that the Company may hereafter file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4"/>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Commission pursuant to Rule 462(b) under the Securities Act in connection with an offering by the Company pursuant to the Registration Statement, are collectively referred to herein as the “</w:t>
      </w:r>
      <w:r>
        <w:rPr>
          <w:rFonts w:ascii="Times New Roman" w:hAnsi="Times New Roman"/>
          <w:b/>
          <w:i/>
          <w:sz w:val="20"/>
        </w:rPr>
        <w:t>Securities</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Company’s certificate of incorporation and bylaws, each as currently in effect, the Distribution Agreement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or Units that may be settled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or Units that may be settled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or upon settlement of any Units, such convertible Debt Securities, Warrants, or Units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With respect to the ATM Shares, we have assumed that (i) each sale of the ATM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hAnsi="Times New Roman"/>
          <w:b/>
          <w:i/>
          <w:sz w:val="20"/>
        </w:rPr>
        <w:t>DGCL</w:t>
      </w:r>
      <w:r>
        <w:rPr>
          <w:rFonts w:ascii="Times New Roman" w:hAnsi="Times New Roman"/>
          <w:sz w:val="20"/>
        </w:rPr>
        <w:t xml:space="preserve">”) and (ii) no more than 5,600,000 ATM Shares will be sold for a consideration not less than the par value of the Common Stock. With respect to the ATM Shares, we express no opinion to the extent that future issuances of securities of the Company, anti-dilution adjustments to outstanding securities of the Company or other matters cause the number of shares of Common Stock issuable under the Distribution Agreement to exceed the number of shares available for issuance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DGCL and, as to the Debt Securities, the Warrants and the Units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5"/>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w:t>
      </w:r>
    </w:p>
    <w:p>
      <w:pPr>
        <w:pStyle w:val="TextBody"/>
        <w:bidi w:val="0"/>
        <w:spacing w:before="240" w:after="0"/>
        <w:jc w:val="left"/>
        <w:rPr>
          <w:rFonts w:ascii="Times New Roman" w:hAnsi="Times New Roman"/>
          <w:sz w:val="20"/>
        </w:rPr>
      </w:pPr>
      <w:r>
        <w:rPr>
          <w:rFonts w:ascii="Times New Roman" w:hAnsi="Times New Roman"/>
          <w:b/>
          <w:sz w:val="20"/>
        </w:rPr>
        <w:t xml:space="preserve">1. </w:t>
      </w:r>
      <w:r>
        <w:rPr>
          <w:rFonts w:ascii="Times New Roman" w:hAnsi="Times New Roman"/>
          <w:sz w:val="20"/>
        </w:rPr>
        <w:t> With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Times New Roman" w:hAnsi="Times New Roman"/>
          <w:b/>
          <w:i/>
          <w:sz w:val="20"/>
        </w:rPr>
        <w:t>Certificate of Incorporation</w:t>
      </w:r>
      <w:r>
        <w:rPr>
          <w:rFonts w:ascii="Times New Roman" w:hAnsi="Times New Roman"/>
          <w:sz w:val="20"/>
        </w:rPr>
        <w:t>”) and bylaws (the “</w:t>
      </w:r>
      <w:r>
        <w:rPr>
          <w:rFonts w:ascii="Times New Roman" w:hAnsi="Times New Roman"/>
          <w:b/>
          <w:i/>
          <w:sz w:val="20"/>
        </w:rPr>
        <w:t>Bylaws</w:t>
      </w:r>
      <w:r>
        <w:rPr>
          <w:rFonts w:ascii="Times New Roman" w:hAnsi="Times New Roman"/>
          <w:sz w:val="20"/>
        </w:rPr>
        <w:t xml:space="preserve">”),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or upon settlement of any Units, in each case in accordance with their terms,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sz w:val="20"/>
        </w:rPr>
        <w:t xml:space="preserve"> With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or upon settlement of any Units, in each case in accordance with their terms,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 With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terms of the Debt Securities and their issuance and sale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6"/>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or upon settlement of any Units, in each case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 With respect to the Warrants issued under a Warrant Agreement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upon the conversion of Debt Securities or the settlement of Units, in each case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 With respect to the Units issued under a Unit Agreement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Unit Agreement has been duly authorized by the Company and the Unit Agent by all necessary corporate action; (c) the applicable Unit Agreement has been duly executed and delivered by the Company and the Unit Agent; (d) the issuance and terms of the Units have been duly authorized by the Company by all necessary corporate action; (e) the terms of the Units and of their issuance and sale have been duly established in conformity with the applicable Unit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Units have been duly executed and delivered by the Company and authenticated by the Unit Agent pursuant to the applicable Unit Agreement and delivered against payment therefor, then the Units, when issued and sold in accordance with the applicable Unit Agreement and a duly authorized, executed and delivered purchase, underwriting or similar agreement, or upon the conversion of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7"/>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Page Five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Securities, the exercise of Warrants or the settlement of Units, in each case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 The ATM Shares, when sold and issued against payment therefor in accordance with the Distribution Agreement, the Registration Statement and the ATM Prospectus, will be validly issued, fully paid and nonassessable.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8"/>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Page Six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and the ATM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G. Peinsipp</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   </w:t>
            </w:r>
            <w:r>
              <w:rPr/>
              <w:t>David G. Peinsipp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 Embarcadero Ctr, 20th Floor 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t: 415 693 2000 f: 415 693 2222 cooley.com </w:t>
      </w:r>
    </w:p>
    <w:p>
      <w:pPr>
        <w:pStyle w:val="TextBody"/>
        <w:bidi w:val="0"/>
        <w:spacing w:before="0" w:after="0"/>
        <w:jc w:val="right"/>
        <w:rPr>
          <w:rFonts w:ascii="Times New Roman" w:hAnsi="Times New Roman"/>
          <w:b/>
          <w:sz w:val="20"/>
        </w:rPr>
      </w:pPr>
      <w:bookmarkStart w:id="43" w:name="d143488dex231.htm"/>
      <w:bookmarkStart w:id="44" w:name="ksd143488dex231"/>
      <w:bookmarkEnd w:id="43"/>
      <w:bookmarkEnd w:id="44"/>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Kodiak Sciences Inc. of our report dated March 31, 2026 relating to the financial statements, which appears in Kodiak Sciences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45" w:name="d143488dexfilingfees.htm"/>
      <w:bookmarkStart w:id="46" w:name="ksd143488dexfilingfees"/>
      <w:bookmarkStart w:id="47" w:name="d143488dexfilingfees.htm"/>
      <w:bookmarkStart w:id="48" w:name="ksd143488dexfilingfees"/>
      <w:bookmarkEnd w:id="47"/>
      <w:bookmarkEnd w:id="48"/>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Kodiak 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6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6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$ 350,000,000.00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$ 30,450.00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6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9" w:name="MaxAggtOfferingPrice"/>
            <w:bookmarkEnd w:id="49"/>
            <w:r>
              <w:rPr/>
              <w:t xml:space="preserve">$ 350,000,000.00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0" w:name="TotalFeeAmt"/>
            <w:bookmarkEnd w:id="50"/>
            <w:r>
              <w:rPr/>
              <w:t xml:space="preserve">$ 30,450.00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 w:name="TotalPreviouslyPaidAmt"/>
            <w:bookmarkEnd w:id="5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2" w:name="TotalOffsetAmt"/>
            <w:bookmarkEnd w:id="52"/>
            <w:r>
              <w:rPr/>
              <w:t xml:space="preserve">$ 18,293.20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NetFeeAmt"/>
            <w:bookmarkEnd w:id="53"/>
            <w:r>
              <w:rPr/>
              <w:t xml:space="preserve">$ 12,156.80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and/or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General Instruction I.D. and Instruction 2.A.iii.c. to the Calculation of Filing Fee Tables and Related Disclosure under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other than the registration fee due in connection with $350,000,000 of shares of common stock, par value $0.0001 per share, or Common Stock, that may be issued and sold from time to time under the prospectus contained in this registration statement. The Registrant will pay any subsequent registration fees in connection with the securities offered hereby on a "pay-as-you-go" basis in accordance with Rule 456(b) under the Securities Act. The Registrant will calculate the registration fee applicable to an offer of securities pursuant to this registration statement based on the fee rate in effect on the date of such fee payment.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7" w:type="dxa"/>
            <w:gridSpan w:val="2"/>
            <w:tcBorders/>
            <w:vAlign w:val="center"/>
          </w:tcPr>
          <w:p>
            <w:pPr>
              <w:pStyle w:val="TableContents"/>
              <w:bidi w:val="0"/>
              <w:spacing w:before="0" w:after="283"/>
              <w:jc w:val="left"/>
              <w:rPr/>
            </w:pPr>
            <w:r>
              <w:rPr/>
              <w:t xml:space="preserve">The registration fee is calculated in accordance with Rule 457(o) under the Securities Act based on the proposed maximum aggregate offering price for the shares of common stock that may be issued and sold from time to time under the prospectus contained in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Kodiak Sciences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333-271946 </w:t>
            </w:r>
          </w:p>
        </w:tc>
        <w:tc>
          <w:tcPr>
            <w:tcW w:w="706" w:type="dxa"/>
            <w:tcBorders/>
            <w:shd w:fill="E7E7E2" w:val="clear"/>
            <w:vAlign w:val="center"/>
          </w:tcPr>
          <w:p>
            <w:pPr>
              <w:pStyle w:val="TableContents"/>
              <w:bidi w:val="0"/>
              <w:spacing w:before="0" w:after="283"/>
              <w:jc w:val="left"/>
              <w:rPr/>
            </w:pPr>
            <w:r>
              <w:rPr/>
              <w:t xml:space="preserve">05/15/2023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$ 18,293.20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$0.0001 par value per share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$ 166,000,000.00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71" w:type="dxa"/>
            <w:tcBorders/>
            <w:shd w:fill="E7E7E2" w:val="clear"/>
            <w:vAlign w:val="center"/>
          </w:tcPr>
          <w:p>
            <w:pPr>
              <w:pStyle w:val="TableContents"/>
              <w:bidi w:val="0"/>
              <w:spacing w:before="0" w:after="283"/>
              <w:jc w:val="left"/>
              <w:rPr/>
            </w:pPr>
            <w:r>
              <w:rPr/>
              <w:t xml:space="preserve">Kodiak Sciences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333-271946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05/15/2023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$ 18,293.20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9"/>
        <w:gridCol w:w="8706"/>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Registrant previously registered $350,000,000 of an indeterminate amount of securities to be offered from time to time at prices to be determined at the time of each such offering pursuant to a Registration Statement on Form S-3 (File No. 333-271946) filed with the Securities and Exchange Commission ("SEC"), on May 15, 2023, and declared effective by the SEC on June 2, 2023 (the "Prior Registration Statement"). The Registrant previously paid an aggregate registration fee of $38,570 in connection with the Prior Registration Statement (based on the filing fee rate in effect at the time of the filing of the Prior Registration Statement). As of the date of filing of this Registration Statement, the Registrant sold an aggregate of $184,000,000 of such securities under the Prior Registration Statement, leaving the balance of $166,000,000 (the "Unsold Securities"), representing $18,293.20 in registration fees, of such Unsold Securities under the Prior Registration Statement. Pursuant to Rule 457(p) under the Securities Act, such unutilized filing fees may be applied to the filing fees payable pursuant to this Registration Statement. All offerings under the Prior Registration Statement have terminated.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The Registrant previously registered $350,000,000 of an indeterminate amount of securities to be offered from time to time at prices to be determined at the time of each such offering pursuant to the Prior Registration Statement. The Registrant previously paid an aggregate registration fee of $38,570 in connection with the Prior Registration Statement (based on the filing fee rate in effect at the time of the filing of the Prior Registration Statement). As of the date of filing of this Registration Statement, the Registrant sold an aggregate of $184,000,000 of such securities under the Prior Registration Statement, leaving the balance of $166,000,000, representing $18,293.20 in registration fees, of such Unsold Securities under the Prior Registration Statement. Pursuant to Rule 457(p) under the Securities Act, such unutilized filing fees may be applied to the filing fees payable pursuant to this Registration Statement. All offerings under the Prior Registration Statement have terminated.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68748/000119312526134887/kod-20251231.htm" TargetMode="External"/><Relationship Id="rId4" Type="http://schemas.openxmlformats.org/officeDocument/2006/relationships/hyperlink" Target="http://www.sec.gov/Archives/edgar/data/../../../ix?doc=/Archives/edgar/data/1468748/000119312526349251/kod-20260630.htm" TargetMode="External"/><Relationship Id="rId5" Type="http://schemas.openxmlformats.org/officeDocument/2006/relationships/hyperlink" Target="http://www.sec.gov/Archives/edgar/data/../../../ix?doc=/Archives/edgar/data/1468748/000119312526211951/kod-20260331.htm" TargetMode="External"/><Relationship Id="rId6" Type="http://schemas.openxmlformats.org/officeDocument/2006/relationships/hyperlink" Target="http://www.sec.gov/Archives/edgar/data/../../../ix?doc=/Archives/edgar/data/1468748/000119312526127041/d283186d8k.htm" TargetMode="External"/><Relationship Id="rId7" Type="http://schemas.openxmlformats.org/officeDocument/2006/relationships/hyperlink" Target="http://www.sec.gov/Archives/edgar/data/../../../ix?doc=/Archives/edgar/data/1468748/000119312526257766/d146405d8k.htm" TargetMode="External"/><Relationship Id="rId8" Type="http://schemas.openxmlformats.org/officeDocument/2006/relationships/hyperlink" Target="http://www.sec.gov/Archives/edgar/data/../../../ix?doc=/Archives/edgar/data/1468748/000119312526403481/d185059d8k.htm" TargetMode="External"/><Relationship Id="rId9" Type="http://schemas.openxmlformats.org/officeDocument/2006/relationships/hyperlink" Target="http://www.sec.gov/Archives/edgar/data/1468748/000156459020011186/kod-ex46_599.htm" TargetMode="External"/><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hyperlink" Target="http://www.sec.gov/Archives/edgar/data/../../../ix?doc=/Archives/edgar/data/1468748/000119312526134887/kod-20251231.htm" TargetMode="External"/><Relationship Id="rId13" Type="http://schemas.openxmlformats.org/officeDocument/2006/relationships/hyperlink" Target="http://www.sec.gov/Archives/edgar/data/../../../ix?doc=/Archives/edgar/data/1468748/000119312526349251/kod-20260630.htm" TargetMode="External"/><Relationship Id="rId14" Type="http://schemas.openxmlformats.org/officeDocument/2006/relationships/hyperlink" Target="http://www.sec.gov/Archives/edgar/data/../../../ix?doc=/Archives/edgar/data/1468748/000119312526211951/kod-20260331.htm" TargetMode="External"/><Relationship Id="rId15" Type="http://schemas.openxmlformats.org/officeDocument/2006/relationships/hyperlink" Target="http://www.sec.gov/Archives/edgar/data/../../../ix?doc=/Archives/edgar/data/1468748/000119312526127041/d283186d8k.htm" TargetMode="External"/><Relationship Id="rId16" Type="http://schemas.openxmlformats.org/officeDocument/2006/relationships/hyperlink" Target="http://www.sec.gov/Archives/edgar/data/../../../ix?doc=/Archives/edgar/data/1468748/000119312526257766/d146405d8k.htm" TargetMode="External"/><Relationship Id="rId17" Type="http://schemas.openxmlformats.org/officeDocument/2006/relationships/hyperlink" Target="http://www.sec.gov/Archives/edgar/data/../../../ix?doc=/Archives/edgar/data/1468748/000119312526403481/d185059d8k.htm" TargetMode="External"/><Relationship Id="rId18" Type="http://schemas.openxmlformats.org/officeDocument/2006/relationships/hyperlink" Target="http://www.sec.gov/Archives/edgar/data/1468748/000156459020011186/kod-ex46_599.htm" TargetMode="External"/><Relationship Id="rId19" Type="http://schemas.openxmlformats.org/officeDocument/2006/relationships/image" Target="media/image2.jpeg"/><Relationship Id="rId20" Type="http://schemas.openxmlformats.org/officeDocument/2006/relationships/hyperlink" Target="http://www.sec.gov/Archives/edgar/data/1468748/000156459018029743/kod-ex31_303.htm" TargetMode="External"/><Relationship Id="rId21" Type="http://schemas.openxmlformats.org/officeDocument/2006/relationships/hyperlink" Target="http://www.sec.gov/Archives/edgar/data/1468748/000156459018029743/kod-ex32_302.htm" TargetMode="External"/><Relationship Id="rId22" Type="http://schemas.openxmlformats.org/officeDocument/2006/relationships/hyperlink" Target="http://www.sec.gov/Archives/edgar/data/1468748/000119312518280419/d516071dex41.htm" TargetMode="External"/><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262</Pages>
  <Words>123425</Words>
  <Characters>641491</Characters>
  <CharactersWithSpaces>766304</CharactersWithSpaces>
  <Paragraphs>5400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