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820" w:right="1580" w:hanging="3812"/>
        <w:spacing w:after="0" w:line="391" w:lineRule="auto"/>
        <w:tabs>
          <w:tab w:leader="none" w:pos="51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-409575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4" w:lineRule="exact"/>
        <w:rPr>
          <w:sz w:val="24"/>
          <w:szCs w:val="24"/>
          <w:color w:val="auto"/>
        </w:rPr>
      </w:pPr>
    </w:p>
    <w:p>
      <w:pPr>
        <w:ind w:left="3460" w:right="1580" w:hanging="3452"/>
        <w:spacing w:after="0" w:line="375" w:lineRule="auto"/>
        <w:tabs>
          <w:tab w:leader="none" w:pos="5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-515620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27-0476525</w:t>
            </w:r>
          </w:p>
        </w:tc>
      </w:tr>
      <w:tr>
        <w:trPr>
          <w:trHeight w:val="148"/>
        </w:trPr>
        <w:tc>
          <w:tcPr>
            <w:tcW w:w="432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23"/>
        </w:trPr>
        <w:tc>
          <w:tcPr>
            <w:tcW w:w="432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2631 Hanover Street</w:t>
            </w:r>
          </w:p>
        </w:tc>
        <w:tc>
          <w:tcPr>
            <w:tcW w:w="3060" w:type="dxa"/>
            <w:vAlign w:val="bottom"/>
          </w:tcPr>
          <w:p>
            <w:pPr>
              <w:spacing w:after="0"/>
              <w:rPr>
                <w:sz w:val="19"/>
                <w:szCs w:val="19"/>
                <w:color w:val="auto"/>
              </w:rPr>
            </w:pPr>
          </w:p>
        </w:tc>
      </w:tr>
      <w:tr>
        <w:trPr>
          <w:trHeight w:val="212"/>
        </w:trPr>
        <w:tc>
          <w:tcPr>
            <w:tcW w:w="4320" w:type="dxa"/>
            <w:vAlign w:val="bottom"/>
          </w:tcPr>
          <w:p>
            <w:pPr>
              <w:jc w:val="center"/>
              <w:ind w:right="1859"/>
              <w:spacing w:after="0"/>
              <w:rPr>
                <w:sz w:val="20"/>
                <w:szCs w:val="20"/>
                <w:color w:val="auto"/>
              </w:rPr>
            </w:pPr>
            <w:r>
              <w:rPr>
                <w:rFonts w:ascii="Arial" w:cs="Arial" w:eastAsia="Arial" w:hAnsi="Arial"/>
                <w:sz w:val="18"/>
                <w:szCs w:val="18"/>
                <w:b w:val="1"/>
                <w:bCs w:val="1"/>
                <w:color w:val="auto"/>
                <w:w w:val="92"/>
              </w:rPr>
              <w:t>Palo Alto, CA</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94304</w:t>
            </w:r>
          </w:p>
        </w:tc>
      </w:tr>
      <w:tr>
        <w:trPr>
          <w:trHeight w:val="186"/>
        </w:trPr>
        <w:tc>
          <w:tcPr>
            <w:tcW w:w="4320" w:type="dxa"/>
            <w:vAlign w:val="bottom"/>
          </w:tcPr>
          <w:p>
            <w:pPr>
              <w:jc w:val="center"/>
              <w:ind w:right="1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(650) 281-0850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32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0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KOD</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12" w:lineRule="exact"/>
        <w:rPr>
          <w:sz w:val="24"/>
          <w:szCs w:val="24"/>
          <w:color w:val="auto"/>
        </w:rPr>
      </w:pPr>
    </w:p>
    <w:p>
      <w:pPr>
        <w:ind w:firstLine="510"/>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180" w:firstLine="510"/>
        <w:spacing w:after="0" w:line="22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4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9"/>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7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4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7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180" w:type="dxa"/>
            <w:vAlign w:val="bottom"/>
          </w:tcPr>
          <w:p>
            <w:pPr>
              <w:ind w:left="324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00" w:lineRule="exact"/>
        <w:rPr>
          <w:sz w:val="24"/>
          <w:szCs w:val="24"/>
          <w:color w:val="auto"/>
        </w:rPr>
      </w:pPr>
    </w:p>
    <w:p>
      <w:pPr>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520" w:right="24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30, 2020, the registrant had 44,484,495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report. Forward-looking statements include, but are not limited to, statements about:</w:t>
      </w:r>
    </w:p>
    <w:p>
      <w:pPr>
        <w:spacing w:after="0" w:line="70" w:lineRule="exact"/>
        <w:rPr>
          <w:sz w:val="20"/>
          <w:szCs w:val="20"/>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clinical trials and regulatory filings;</w:t>
      </w:r>
    </w:p>
    <w:p>
      <w:pPr>
        <w:spacing w:after="0" w:line="117" w:lineRule="exact"/>
        <w:rPr>
          <w:rFonts w:ascii="Arial" w:cs="Arial" w:eastAsia="Arial" w:hAnsi="Arial"/>
          <w:sz w:val="18"/>
          <w:szCs w:val="18"/>
          <w:color w:val="auto"/>
        </w:rPr>
      </w:pPr>
    </w:p>
    <w:p>
      <w:pPr>
        <w:ind w:left="620" w:right="28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trials in humans;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durability, efficacy and safety of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our “2022 Vision” of a Biologics License Application of KSI-301 in 2022;</w:t>
      </w:r>
    </w:p>
    <w:p>
      <w:pPr>
        <w:spacing w:after="0" w:line="117" w:lineRule="exact"/>
        <w:rPr>
          <w:rFonts w:ascii="Arial" w:cs="Arial" w:eastAsia="Arial" w:hAnsi="Arial"/>
          <w:sz w:val="18"/>
          <w:szCs w:val="18"/>
          <w:color w:val="auto"/>
        </w:rPr>
      </w:pPr>
    </w:p>
    <w:p>
      <w:pPr>
        <w:ind w:left="620" w:right="100" w:hanging="113"/>
        <w:spacing w:after="0" w:line="263"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clinical trials that regulatory authorities may require to obtain marketing approval, including the order and number of clinical studies required to support a Biologics License Application, or BLA, in wet age-related macular degeneration, or wet AMD, diabetic macular edema, or DME, retinal vein occlusion, or RVO, and diabetic retinopathy, or DR;</w:t>
      </w:r>
    </w:p>
    <w:p>
      <w:pPr>
        <w:spacing w:after="0" w:line="75"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the potential to achieve FDA approval of KSI-301 in wet AMD, DME, RVO and DR;</w:t>
      </w:r>
    </w:p>
    <w:p>
      <w:pPr>
        <w:spacing w:after="0" w:line="62" w:lineRule="exact"/>
        <w:rPr>
          <w:rFonts w:ascii="Arial" w:cs="Arial" w:eastAsia="Arial" w:hAnsi="Arial"/>
          <w:sz w:val="18"/>
          <w:szCs w:val="18"/>
          <w:color w:val="auto"/>
        </w:rPr>
      </w:pPr>
    </w:p>
    <w:p>
      <w:pPr>
        <w:ind w:left="620" w:right="28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develop, manufacture and commercialize our product candidates;</w:t>
      </w:r>
    </w:p>
    <w:p>
      <w:pPr>
        <w:spacing w:after="0" w:line="140" w:lineRule="exact"/>
        <w:rPr>
          <w:rFonts w:ascii="Arial" w:cs="Arial" w:eastAsia="Arial" w:hAnsi="Arial"/>
          <w:sz w:val="16"/>
          <w:szCs w:val="16"/>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17" w:lineRule="exact"/>
        <w:rPr>
          <w:rFonts w:ascii="Arial" w:cs="Arial" w:eastAsia="Arial" w:hAnsi="Arial"/>
          <w:sz w:val="18"/>
          <w:szCs w:val="18"/>
          <w:color w:val="auto"/>
        </w:rPr>
      </w:pPr>
    </w:p>
    <w:p>
      <w:pPr>
        <w:ind w:left="620" w:right="34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as to the concentration of retinal specialists in the United States and its impact on our sales and marketing plans;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enter into manufacturing-related commitments, and the timing thereof;</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and growth potential of the markets for our product candidates, if approved for commercial use, and our ability to serve those markets;</w:t>
      </w:r>
    </w:p>
    <w:p>
      <w:pPr>
        <w:spacing w:after="0" w:line="140" w:lineRule="exact"/>
        <w:rPr>
          <w:rFonts w:ascii="Arial" w:cs="Arial" w:eastAsia="Arial" w:hAnsi="Arial"/>
          <w:sz w:val="16"/>
          <w:szCs w:val="16"/>
          <w:color w:val="auto"/>
        </w:rPr>
      </w:pPr>
    </w:p>
    <w:p>
      <w:pPr>
        <w:ind w:left="620" w:hanging="11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17" w:lineRule="exact"/>
        <w:rPr>
          <w:rFonts w:ascii="Arial" w:cs="Arial" w:eastAsia="Arial" w:hAnsi="Arial"/>
          <w:sz w:val="18"/>
          <w:szCs w:val="18"/>
          <w:color w:val="auto"/>
        </w:rPr>
      </w:pPr>
    </w:p>
    <w:p>
      <w:pPr>
        <w:ind w:left="620" w:right="440" w:hanging="113"/>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ind w:left="620" w:hanging="113"/>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 candidates and technology;</w:t>
      </w:r>
    </w:p>
    <w:p>
      <w:pPr>
        <w:spacing w:after="0" w:line="128" w:lineRule="exact"/>
        <w:rPr>
          <w:rFonts w:ascii="Arial" w:cs="Arial" w:eastAsia="Arial" w:hAnsi="Arial"/>
          <w:sz w:val="17"/>
          <w:szCs w:val="17"/>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novel coronavirus, or COVID-19, outbreak on our operations and global economy;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17" w:lineRule="exact"/>
        <w:rPr>
          <w:rFonts w:ascii="Arial" w:cs="Arial" w:eastAsia="Arial" w:hAnsi="Arial"/>
          <w:sz w:val="18"/>
          <w:szCs w:val="18"/>
          <w:color w:val="auto"/>
        </w:rPr>
      </w:pPr>
    </w:p>
    <w:p>
      <w:pPr>
        <w:ind w:left="620" w:right="640" w:hanging="113"/>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the sufficiency of our cash resources, expenses, future revenue, capital requirements and needs for additional financing;</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p>
    <w:p>
      <w:pPr>
        <w:spacing w:after="0" w:line="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“Kodiak” the “Company,” “we,” “us,” and “our” refer to Kodiak Sciences Inc</w:t>
      </w:r>
      <w:r>
        <w:rPr>
          <w:rFonts w:ascii="Arial" w:cs="Arial" w:eastAsia="Arial" w:hAnsi="Arial"/>
          <w:sz w:val="18"/>
          <w:szCs w:val="18"/>
          <w:color w:val="auto"/>
        </w:rPr>
        <w: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20" w:type="dxa"/>
            <w:vAlign w:val="bottom"/>
            <w:vMerge w:val="restart"/>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INFORMATION</w:t>
              </w:r>
            </w:hyperlink>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00" w:type="dxa"/>
            <w:vAlign w:val="bottom"/>
            <w:vMerge w:val="continue"/>
          </w:tcPr>
          <w:p>
            <w:pPr>
              <w:spacing w:after="0"/>
              <w:rPr>
                <w:sz w:val="19"/>
                <w:szCs w:val="19"/>
                <w:color w:val="auto"/>
              </w:rPr>
            </w:pPr>
          </w:p>
        </w:tc>
        <w:tc>
          <w:tcPr>
            <w:tcW w:w="95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 and Comprehensive Loss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Stockholders’ Equity</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520" w:type="dxa"/>
            <w:vAlign w:val="bottom"/>
          </w:tcPr>
          <w:p>
            <w:pPr>
              <w:ind w:left="1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tcPr>
          <w:p>
            <w:pPr>
              <w:ind w:left="1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520" w:type="dxa"/>
            <w:vAlign w:val="bottom"/>
          </w:tcPr>
          <w:p>
            <w:pPr>
              <w:ind w:left="1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Quantitative and Qualitative Disclosures About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20" w:type="dxa"/>
            <w:vAlign w:val="bottom"/>
          </w:tcPr>
          <w:p>
            <w:pPr>
              <w:ind w:left="1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Controls and Procedures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3"/>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20" w:type="dxa"/>
            <w:vAlign w:val="bottom"/>
          </w:tcPr>
          <w:p>
            <w:pPr>
              <w:ind w:left="1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tcPr>
          <w:p>
            <w:pPr>
              <w:ind w:left="1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Legal Proceedings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520" w:type="dxa"/>
            <w:vAlign w:val="bottom"/>
          </w:tcPr>
          <w:p>
            <w:pPr>
              <w:ind w:left="1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tcPr>
          <w:p>
            <w:pPr>
              <w:ind w:left="1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Unregistered Sales of Equity Securities and Use of Proceeds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520" w:type="dxa"/>
            <w:vAlign w:val="bottom"/>
          </w:tcPr>
          <w:p>
            <w:pPr>
              <w:ind w:left="1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Defaults Upon Senior Securities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20" w:type="dxa"/>
            <w:vAlign w:val="bottom"/>
          </w:tcPr>
          <w:p>
            <w:pPr>
              <w:ind w:left="1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Mine Safety Disclosures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520" w:type="dxa"/>
            <w:vAlign w:val="bottom"/>
          </w:tcPr>
          <w:p>
            <w:pPr>
              <w:ind w:left="1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520" w:type="dxa"/>
            <w:vAlign w:val="bottom"/>
          </w:tcPr>
          <w:p>
            <w:pPr>
              <w:ind w:left="1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Signatures</w:t>
              </w:r>
            </w:hyperlink>
          </w:p>
        </w:tc>
        <w:tc>
          <w:tcPr>
            <w:tcW w:w="9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60" w:type="dxa"/>
            <w:vAlign w:val="bottom"/>
          </w:tcPr>
          <w:p>
            <w:pPr>
              <w:jc w:val="center"/>
              <w:ind w:left="3490"/>
              <w:spacing w:after="0"/>
              <w:rPr>
                <w:sz w:val="20"/>
                <w:szCs w:val="20"/>
                <w:color w:val="auto"/>
              </w:rPr>
            </w:pPr>
            <w:r>
              <w:rPr>
                <w:rFonts w:ascii="Arial" w:cs="Arial" w:eastAsia="Arial" w:hAnsi="Arial"/>
                <w:sz w:val="18"/>
                <w:szCs w:val="18"/>
                <w:b w:val="1"/>
                <w:bCs w:val="1"/>
                <w:color w:val="auto"/>
              </w:rPr>
              <w:t>PART I—FINANCIAL INFORMATION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7660" w:type="dxa"/>
            <w:vAlign w:val="bottom"/>
          </w:tcPr>
          <w:p>
            <w:pPr>
              <w:jc w:val="center"/>
              <w:ind w:left="3490"/>
              <w:spacing w:after="0"/>
              <w:rPr>
                <w:sz w:val="20"/>
                <w:szCs w:val="20"/>
                <w:color w:val="auto"/>
              </w:rPr>
            </w:pPr>
            <w:r>
              <w:rPr>
                <w:rFonts w:ascii="Arial" w:cs="Arial" w:eastAsia="Arial" w:hAnsi="Arial"/>
                <w:sz w:val="18"/>
                <w:szCs w:val="18"/>
                <w:b w:val="1"/>
                <w:bCs w:val="1"/>
                <w:color w:val="auto"/>
                <w:w w:val="89"/>
              </w:rPr>
              <w:t>Kodiak Sciences Inc.</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660" w:type="dxa"/>
            <w:vAlign w:val="bottom"/>
          </w:tcPr>
          <w:p>
            <w:pPr>
              <w:jc w:val="center"/>
              <w:ind w:left="35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tcPr>
          <w:p>
            <w:pPr>
              <w:jc w:val="center"/>
              <w:ind w:left="35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660" w:type="dxa"/>
            <w:vAlign w:val="bottom"/>
          </w:tcPr>
          <w:p>
            <w:pPr>
              <w:jc w:val="center"/>
              <w:ind w:left="349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46"/>
        </w:trPr>
        <w:tc>
          <w:tcPr>
            <w:tcW w:w="7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6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226,456</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211,797</w:t>
            </w:r>
          </w:p>
        </w:tc>
        <w:tc>
          <w:tcPr>
            <w:tcW w:w="120" w:type="dxa"/>
            <w:vAlign w:val="bottom"/>
            <w:shd w:val="clear" w:color="auto" w:fill="CFF0FC"/>
          </w:tcPr>
          <w:p>
            <w:pPr>
              <w:spacing w:after="0"/>
              <w:rPr>
                <w:sz w:val="19"/>
                <w:szCs w:val="19"/>
                <w:color w:val="auto"/>
              </w:rPr>
            </w:pP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195,404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124,684</w:t>
            </w:r>
          </w:p>
        </w:tc>
        <w:tc>
          <w:tcPr>
            <w:tcW w:w="120" w:type="dxa"/>
            <w:vAlign w:val="bottom"/>
          </w:tcPr>
          <w:p>
            <w:pPr>
              <w:spacing w:after="0"/>
              <w:rPr>
                <w:sz w:val="19"/>
                <w:szCs w:val="19"/>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120" w:type="dxa"/>
            <w:vAlign w:val="bottom"/>
            <w:shd w:val="clear" w:color="auto" w:fill="CFF0FC"/>
          </w:tcPr>
          <w:p>
            <w:pPr>
              <w:spacing w:after="0"/>
              <w:rPr>
                <w:sz w:val="19"/>
                <w:szCs w:val="19"/>
                <w:color w:val="auto"/>
              </w:rPr>
            </w:pPr>
          </w:p>
        </w:tc>
      </w:tr>
      <w:tr>
        <w:trPr>
          <w:trHeight w:val="223"/>
        </w:trPr>
        <w:tc>
          <w:tcPr>
            <w:tcW w:w="76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424,807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339,230</w:t>
            </w:r>
          </w:p>
        </w:tc>
        <w:tc>
          <w:tcPr>
            <w:tcW w:w="120" w:type="dxa"/>
            <w:vAlign w:val="bottom"/>
          </w:tcPr>
          <w:p>
            <w:pPr>
              <w:spacing w:after="0"/>
              <w:rPr>
                <w:sz w:val="19"/>
                <w:szCs w:val="19"/>
                <w:color w:val="auto"/>
              </w:rPr>
            </w:pPr>
          </w:p>
        </w:tc>
      </w:tr>
      <w:tr>
        <w:trPr>
          <w:trHeight w:val="229"/>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11,696</w:t>
            </w: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r>
      <w:tr>
        <w:trPr>
          <w:trHeight w:val="229"/>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9"/>
                <w:szCs w:val="19"/>
                <w:color w:val="auto"/>
              </w:rPr>
            </w:pPr>
          </w:p>
        </w:tc>
      </w:tr>
      <w:tr>
        <w:trPr>
          <w:trHeight w:val="229"/>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5,014</w:t>
            </w:r>
          </w:p>
        </w:tc>
        <w:tc>
          <w:tcPr>
            <w:tcW w:w="120" w:type="dxa"/>
            <w:vAlign w:val="bottom"/>
            <w:shd w:val="clear" w:color="auto" w:fill="CFF0FC"/>
          </w:tcPr>
          <w:p>
            <w:pPr>
              <w:spacing w:after="0"/>
              <w:rPr>
                <w:sz w:val="19"/>
                <w:szCs w:val="19"/>
                <w:color w:val="auto"/>
              </w:rPr>
            </w:pPr>
          </w:p>
        </w:tc>
      </w:tr>
      <w:tr>
        <w:trPr>
          <w:trHeight w:val="263"/>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443,042</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358,866</w:t>
            </w:r>
          </w:p>
        </w:tc>
        <w:tc>
          <w:tcPr>
            <w:tcW w:w="120" w:type="dxa"/>
            <w:vAlign w:val="bottom"/>
            <w:tcBorders>
              <w:bottom w:val="single" w:sz="8" w:color="CFF0FC"/>
            </w:tcBorders>
          </w:tcPr>
          <w:p>
            <w:pPr>
              <w:spacing w:after="0"/>
              <w:rPr>
                <w:sz w:val="22"/>
                <w:szCs w:val="22"/>
                <w:color w:val="auto"/>
              </w:rPr>
            </w:pPr>
          </w:p>
        </w:tc>
      </w:tr>
      <w:tr>
        <w:trPr>
          <w:trHeight w:val="210"/>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Accrued and other current liabilities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19"/>
                <w:szCs w:val="19"/>
                <w:color w:val="auto"/>
              </w:rPr>
            </w:pPr>
          </w:p>
        </w:tc>
      </w:tr>
      <w:tr>
        <w:trPr>
          <w:trHeight w:val="229"/>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FF0FC"/>
          </w:tcPr>
          <w:p>
            <w:pPr>
              <w:spacing w:after="0"/>
              <w:rPr>
                <w:sz w:val="19"/>
                <w:szCs w:val="19"/>
                <w:color w:val="auto"/>
              </w:rPr>
            </w:pPr>
          </w:p>
        </w:tc>
      </w:tr>
      <w:tr>
        <w:trPr>
          <w:trHeight w:val="223"/>
        </w:trPr>
        <w:tc>
          <w:tcPr>
            <w:tcW w:w="76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11,711</w:t>
            </w:r>
          </w:p>
        </w:tc>
        <w:tc>
          <w:tcPr>
            <w:tcW w:w="120" w:type="dxa"/>
            <w:vAlign w:val="bottom"/>
          </w:tcPr>
          <w:p>
            <w:pPr>
              <w:spacing w:after="0"/>
              <w:rPr>
                <w:sz w:val="19"/>
                <w:szCs w:val="19"/>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net of current portion</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Liability related to sale of future royalties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99,850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FF0FC"/>
          </w:tcPr>
          <w:p>
            <w:pPr>
              <w:spacing w:after="0"/>
              <w:rPr>
                <w:sz w:val="19"/>
                <w:szCs w:val="19"/>
                <w:color w:val="auto"/>
              </w:rPr>
            </w:pPr>
          </w:p>
        </w:tc>
      </w:tr>
      <w:tr>
        <w:trPr>
          <w:trHeight w:val="223"/>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115,355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13,507</w:t>
            </w:r>
          </w:p>
        </w:tc>
        <w:tc>
          <w:tcPr>
            <w:tcW w:w="12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 shares authorized;</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0 shares issued and outstanding at March 31, 2020 and</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2019</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60" w:type="dxa"/>
            <w:vAlign w:val="bottom"/>
          </w:tcPr>
          <w:p>
            <w:pPr>
              <w:ind w:left="260"/>
              <w:spacing w:after="0"/>
              <w:rPr>
                <w:sz w:val="20"/>
                <w:szCs w:val="20"/>
                <w:color w:val="auto"/>
              </w:rPr>
            </w:pPr>
            <w:r>
              <w:rPr>
                <w:rFonts w:ascii="Arial" w:cs="Arial" w:eastAsia="Arial" w:hAnsi="Arial"/>
                <w:sz w:val="18"/>
                <w:szCs w:val="18"/>
                <w:color w:val="auto"/>
              </w:rPr>
              <w:t>Common stock, $0.0001 par value, 490,000,000 shares authorized at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rPr>
              <w:t>March 31, 2020 and December 31, 2019; 44,452,701 and 44,413,404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rPr>
              <w:t>shares issued and outstanding at March 31, 2020 and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December 31, 2019, respectively</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509,716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503,475</w:t>
            </w:r>
          </w:p>
        </w:tc>
        <w:tc>
          <w:tcPr>
            <w:tcW w:w="120" w:type="dxa"/>
            <w:vAlign w:val="bottom"/>
            <w:shd w:val="clear" w:color="auto" w:fill="CFF0FC"/>
          </w:tcPr>
          <w:p>
            <w:pPr>
              <w:spacing w:after="0"/>
              <w:rPr>
                <w:sz w:val="19"/>
                <w:szCs w:val="19"/>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(182,523)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(158,131)</w:t>
            </w:r>
          </w:p>
        </w:tc>
      </w:tr>
      <w:tr>
        <w:trPr>
          <w:trHeight w:val="223"/>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327,687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345,359</w:t>
            </w:r>
          </w:p>
        </w:tc>
        <w:tc>
          <w:tcPr>
            <w:tcW w:w="120" w:type="dxa"/>
            <w:vAlign w:val="bottom"/>
            <w:tcBorders>
              <w:bottom w:val="single" w:sz="8" w:color="CFF0FC"/>
            </w:tcBorders>
          </w:tcPr>
          <w:p>
            <w:pPr>
              <w:spacing w:after="0"/>
              <w:rPr>
                <w:sz w:val="19"/>
                <w:szCs w:val="19"/>
                <w:color w:val="auto"/>
              </w:rPr>
            </w:pPr>
          </w:p>
        </w:tc>
      </w:tr>
      <w:tr>
        <w:trPr>
          <w:trHeight w:val="223"/>
        </w:trPr>
        <w:tc>
          <w:tcPr>
            <w:tcW w:w="7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443,042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358,866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20,170</w:t>
            </w:r>
          </w:p>
        </w:tc>
        <w:tc>
          <w:tcPr>
            <w:tcW w:w="180" w:type="dxa"/>
            <w:vAlign w:val="bottom"/>
          </w:tcPr>
          <w:p>
            <w:pPr>
              <w:spacing w:after="0"/>
              <w:rPr>
                <w:sz w:val="19"/>
                <w:szCs w:val="19"/>
                <w:color w:val="auto"/>
              </w:rPr>
            </w:pP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7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7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 (expense), net</w:t>
            </w:r>
          </w:p>
        </w:tc>
        <w:tc>
          <w:tcPr>
            <w:tcW w:w="17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7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20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FF0FC"/>
            </w:tcBorders>
            <w:vMerge w:val="continue"/>
          </w:tcPr>
          <w:p>
            <w:pPr>
              <w:spacing w:after="0"/>
              <w:rPr>
                <w:sz w:val="21"/>
                <w:szCs w:val="21"/>
                <w:color w:val="auto"/>
              </w:rPr>
            </w:pPr>
          </w:p>
        </w:tc>
        <w:tc>
          <w:tcPr>
            <w:tcW w:w="174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common shares outstanding used in</w:t>
            </w:r>
          </w:p>
        </w:tc>
        <w:tc>
          <w:tcPr>
            <w:tcW w:w="1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computing net loss per common share, basic and diluted</w:t>
            </w:r>
          </w:p>
        </w:tc>
        <w:tc>
          <w:tcPr>
            <w:tcW w:w="17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44,824,587</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37,248,165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Other comprehensive income</w:t>
            </w:r>
          </w:p>
        </w:tc>
        <w:tc>
          <w:tcPr>
            <w:tcW w:w="1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gains related to available-for-sale</w:t>
            </w:r>
          </w:p>
        </w:tc>
        <w:tc>
          <w:tcPr>
            <w:tcW w:w="1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debt securities, net of tax</w:t>
            </w:r>
          </w:p>
        </w:tc>
        <w:tc>
          <w:tcPr>
            <w:tcW w:w="174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w:t>
            </w:r>
          </w:p>
        </w:tc>
        <w:tc>
          <w:tcPr>
            <w:tcW w:w="17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7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160" w:type="dxa"/>
            <w:vAlign w:val="bottom"/>
            <w:gridSpan w:val="3"/>
            <w:vMerge w:val="restart"/>
          </w:tcPr>
          <w:p>
            <w:pPr>
              <w:jc w:val="right"/>
              <w:ind w:right="43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88"/>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34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2019</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44,413,404</w:t>
            </w:r>
          </w:p>
        </w:tc>
        <w:tc>
          <w:tcPr>
            <w:tcW w:w="24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ind w:right="718"/>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503,475</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(158,131)</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345,359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6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39,297</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(24,392)</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(24,392)</w:t>
            </w:r>
          </w:p>
        </w:tc>
        <w:tc>
          <w:tcPr>
            <w:tcW w:w="0" w:type="dxa"/>
            <w:vAlign w:val="bottom"/>
          </w:tcPr>
          <w:p>
            <w:pPr>
              <w:spacing w:after="0"/>
              <w:rPr>
                <w:sz w:val="1"/>
                <w:szCs w:val="1"/>
                <w:color w:val="auto"/>
              </w:rPr>
            </w:pPr>
          </w:p>
        </w:tc>
      </w:tr>
      <w:tr>
        <w:trPr>
          <w:trHeight w:val="155"/>
        </w:trPr>
        <w:tc>
          <w:tcPr>
            <w:tcW w:w="3460" w:type="dxa"/>
            <w:vAlign w:val="bottom"/>
          </w:tcPr>
          <w:p>
            <w:pPr>
              <w:spacing w:after="0" w:line="155" w:lineRule="exact"/>
              <w:rPr>
                <w:sz w:val="20"/>
                <w:szCs w:val="20"/>
                <w:color w:val="auto"/>
              </w:rPr>
            </w:pPr>
            <w:r>
              <w:rPr>
                <w:rFonts w:ascii="Arial" w:cs="Arial" w:eastAsia="Arial" w:hAnsi="Arial"/>
                <w:sz w:val="14"/>
                <w:szCs w:val="14"/>
                <w:color w:val="auto"/>
              </w:rPr>
              <w:t>Balances at March 31, 2020</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44,452,701</w:t>
            </w:r>
          </w:p>
        </w:tc>
        <w:tc>
          <w:tcPr>
            <w:tcW w:w="240" w:type="dxa"/>
            <w:vAlign w:val="bottom"/>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509,716</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489</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(182,523)</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327,687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160" w:type="dxa"/>
            <w:vAlign w:val="bottom"/>
            <w:gridSpan w:val="3"/>
            <w:vMerge w:val="restart"/>
          </w:tcPr>
          <w:p>
            <w:pPr>
              <w:jc w:val="right"/>
              <w:ind w:right="43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88"/>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5"/>
        </w:trPr>
        <w:tc>
          <w:tcPr>
            <w:tcW w:w="34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2018</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36,829,857</w:t>
            </w:r>
          </w:p>
        </w:tc>
        <w:tc>
          <w:tcPr>
            <w:tcW w:w="24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ind w:right="718"/>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197,595</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(110,766)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86,833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6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80,000</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(7,984)</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(7,984)</w:t>
            </w:r>
          </w:p>
        </w:tc>
        <w:tc>
          <w:tcPr>
            <w:tcW w:w="0" w:type="dxa"/>
            <w:vAlign w:val="bottom"/>
          </w:tcPr>
          <w:p>
            <w:pPr>
              <w:spacing w:after="0"/>
              <w:rPr>
                <w:sz w:val="1"/>
                <w:szCs w:val="1"/>
                <w:color w:val="auto"/>
              </w:rPr>
            </w:pPr>
          </w:p>
        </w:tc>
      </w:tr>
      <w:tr>
        <w:trPr>
          <w:trHeight w:val="156"/>
        </w:trPr>
        <w:tc>
          <w:tcPr>
            <w:tcW w:w="3460" w:type="dxa"/>
            <w:vAlign w:val="bottom"/>
          </w:tcPr>
          <w:p>
            <w:pPr>
              <w:spacing w:after="0" w:line="155" w:lineRule="exact"/>
              <w:rPr>
                <w:sz w:val="20"/>
                <w:szCs w:val="20"/>
                <w:color w:val="auto"/>
              </w:rPr>
            </w:pPr>
            <w:r>
              <w:rPr>
                <w:rFonts w:ascii="Arial" w:cs="Arial" w:eastAsia="Arial" w:hAnsi="Arial"/>
                <w:sz w:val="14"/>
                <w:szCs w:val="14"/>
                <w:color w:val="auto"/>
              </w:rPr>
              <w:t>Balances at March 31, 2019</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36,909,857</w:t>
            </w:r>
          </w:p>
        </w:tc>
        <w:tc>
          <w:tcPr>
            <w:tcW w:w="240" w:type="dxa"/>
            <w:vAlign w:val="bottom"/>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198,835</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(118,750)</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80,095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0" w:type="dxa"/>
            <w:vAlign w:val="bottom"/>
            <w:gridSpan w:val="5"/>
          </w:tcPr>
          <w:p>
            <w:pPr>
              <w:jc w:val="right"/>
              <w:ind w:right="227"/>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47"/>
              <w:spacing w:after="0"/>
              <w:rPr>
                <w:sz w:val="20"/>
                <w:szCs w:val="20"/>
                <w:color w:val="auto"/>
              </w:rPr>
            </w:pPr>
            <w:r>
              <w:rPr>
                <w:rFonts w:ascii="Arial" w:cs="Arial" w:eastAsia="Arial" w:hAnsi="Arial"/>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tcPr>
          <w:p>
            <w:pPr>
              <w:jc w:val="right"/>
              <w:ind w:right="77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(24,392)</w:t>
            </w: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Amortization (accretion) of premium (discount) on marketable securities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operating lease right-of-use asset</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Amortization of issuance costs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(1,602)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and other current liabilities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Operating lease liability</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6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(17,932)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(86,317)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(23,865)</w:t>
            </w: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Maturities of marketable securities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(67,197)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(23,872)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Proceeds from issuance of common stock upon options exercise</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future royalties, net of issuance costs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Principal payments of capital lease</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Principal payments of tenant improvement allowance payable</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6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99,788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(31,032)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6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211,937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6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226,596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w w:val="97"/>
              </w:rPr>
              <w:t>Reconciliation of cash, cash equivalents and restricted cash to consolidated balance sheets</w:t>
            </w:r>
          </w:p>
        </w:tc>
        <w:tc>
          <w:tcPr>
            <w:tcW w:w="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FF0FC"/>
          </w:tcPr>
          <w:p>
            <w:pPr>
              <w:jc w:val="right"/>
              <w:ind w:right="77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226,456</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6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in consolidated balance sheets</w:t>
            </w:r>
          </w:p>
        </w:tc>
        <w:tc>
          <w:tcPr>
            <w:tcW w:w="6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226,596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Operating lease right-of-use asset obtained in exchange for operating lease liability</w:t>
            </w:r>
          </w:p>
        </w:tc>
        <w:tc>
          <w:tcPr>
            <w:tcW w:w="1560" w:type="dxa"/>
            <w:vAlign w:val="bottom"/>
            <w:gridSpan w:val="2"/>
          </w:tcPr>
          <w:p>
            <w:pPr>
              <w:jc w:val="right"/>
              <w:ind w:right="77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 under accounts payable</w:t>
            </w:r>
          </w:p>
        </w:tc>
        <w:tc>
          <w:tcPr>
            <w:tcW w:w="1560" w:type="dxa"/>
            <w:vAlign w:val="bottom"/>
            <w:gridSpan w:val="2"/>
            <w:shd w:val="clear" w:color="auto" w:fill="CFF0FC"/>
          </w:tcPr>
          <w:p>
            <w:pPr>
              <w:jc w:val="right"/>
              <w:ind w:right="77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jc w:val="both"/>
        <w:ind w:right="420" w:firstLine="510"/>
        <w:spacing w:after="0" w:line="263" w:lineRule="auto"/>
        <w:rPr>
          <w:sz w:val="20"/>
          <w:szCs w:val="20"/>
          <w:color w:val="auto"/>
        </w:rPr>
      </w:pPr>
      <w:r>
        <w:rPr>
          <w:rFonts w:ascii="Arial" w:cs="Arial" w:eastAsia="Arial" w:hAnsi="Arial"/>
          <w:sz w:val="18"/>
          <w:szCs w:val="18"/>
          <w:color w:val="auto"/>
        </w:rPr>
        <w:t>Kodiak Sciences Inc. (the “Company”) is a clinical stage biopharmaceutical company specializing in novel therapeutics to treat chronic, high-prevalence retinal diseases. The Company devotes substantially all of its time and efforts to performing research and development, raising capital and recruiting personnel.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As of March 31, 2020, the Company had cash, cash equivalents and marketable securities of $430.4 million. Although the Company has incurred significant operating losses since inception and expects to continue to incur operating losses and negative operating cash flows for the foreseeable future, the Company believes that the cash, cash equivalents and marketable securities will be sufficient to meet the anticipated operating and capital expenditure requirements for the 12 months following the date of this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present fairly the Company's financial position and results of operations for the reported periods.</w:t>
      </w:r>
    </w:p>
    <w:p>
      <w:pPr>
        <w:spacing w:after="0" w:line="79"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These condensed consolidated financial statements have been prepared on a basis substantially consistent with, and should be read in conjunction with the audited financial statements for the year ended December 31, 2019 and notes thereto, included in the Company’s Annual Report on Form 10-K filed with the Securities and Exchange Commission (“SEC”) on March 16, 2020.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2020, or for any future period.</w:t>
      </w:r>
    </w:p>
    <w:p>
      <w:pPr>
        <w:spacing w:after="0" w:line="53"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Such reclassifications had no impact on subtotals in the prior year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as of the date of the condensed consolidated financial statements and expenses during the reporting period. The impact of COVID-19 continues to evolve. As a result, certain estimates and assumptions required increased judgment and carried a higher degree of variability and volatility, including but not limited to, the fair value of marketable securities, performance-based equity awards, and research and development accruals for the quarter ended March 31, 2020. As events continue to unfold and additional information becomes available, these estimates may change materially in future periods. Actual results could differ from those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In March 2020, the World Health Organization declared a pandemic due to the global COVID-19 outbreak. The significant uncertainties caused by COVID-19 may negatively impact the Company’s operations, liquidity, and capital resources, and will depend on certain developments, including the duration and spread of the outbreak, regulatory and private sector responses and the impact on employees and vendors including supply chain and clinical partners, all of which are uncertain and cannot be predicted. During this pandemic, the Company continues to work closely with clinical sites towards maximal patient safety and the lowest number of missed visits and study discontinuations. The Company has taken and continues to take proactive measures to maintain the integrity of its ongoing clinical studies. Despite these efforts, the COVID-19 pandemic could significantly impact clinical trial enrollment and completion of its clinical studies. The Company will continue to monitor the COVID-19 situation and its impact on the ability to continue the development of, and seek regulatory approvals for, the Company’s product candidates, and begin to commercialize any approved products.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months ended March 31, 2020 are consistent with those discussed in Note 2 to the consolidated financial statements in the Company’s Annual Report on Form 10-K for the year ended December 31, 2019, except as noted below with respect to the Company’s liability related to sale of future royalties and as noted within the “Recent Accounting Pronouncements – Recently Adopted Accounting Pronouncements” section.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related to Sale of Future Royalties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December 1, 2019, the Company and its subsidiary Kodiak Sciences GmbH entered into a funding agreement with Baker Bros. Advisors, LP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(“BBA”), which holds more than 5% of the Company’s stock, pursuant to which BBA purchased the right to receive a capped 4.5% royalty on future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sales of KSI-301, the Company’s anti-VEGF antibody biopolymer conjugate therapy, in exchange for $225.0 million. Under the terms of the funding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there is no obligation to repay any funding amount received, other than through the capped royalty payments on future product revenues.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recorded the funding amount paid by BBA as a liability on the consolidated balance sheet net of issuance costs, in accordance with ASC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Under ASC 730, the significant related party relationship between the Company and BBA creates an implicit obligation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repay the funding amount paid to the Company. Once royalty payments to BBA are determined to be probable and estimable, and if such amounts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exceed the liability balance, the Company will impute interest to accrete the liability on a prospective basis based on such estimates. If and when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makes royalty payments under the funding agreement, it would reduce the liability balance at such time. Refer to Note 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 – Available-for-Sale Debt Securities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For available-for-sale debt securities in an unrealized loss position, the Company will periodically assess its portfolio for impairment. The assessment first considers the intent or requirement to sell the security. If either of these criteria are met, the amortized cost basis will be written down to fair value through earnings.</w:t>
      </w:r>
    </w:p>
    <w:p>
      <w:pPr>
        <w:spacing w:after="0" w:line="7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If not met, the Company will evaluate whether the decline resulted from credit losses or other factors by considering the extent to which fair value is less than amortized cost, any changes to the rating of the security by a rating agency, and any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will be recorded, limited by the amount that the fair value is less than the amortized cost basis. Any impairment that has not been recorded through an allowance for credit losses is recognized in other comprehensive income or loss, as applicable.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80" w:firstLine="510"/>
        <w:spacing w:after="0" w:line="30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under its ASC or other standard setting bodies, and adopted by the Company as of the specified effective date, unless otherwise discussed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which intends to improve financial reporting by requiring earlier recognition of credit losses on certain financial assets, such as available-for-sale debt securities. The Company assessed the impact of ASU 2016-13 on its available-for-sale debt securities and determined there were no credit losses within the portfolio requiring an allowance upon adoption. The Company adopted this new guidance as of January 1, 2020, which did not impact its consolidated financial statements and related disclosures.</w:t>
      </w:r>
    </w:p>
    <w:p>
      <w:pPr>
        <w:spacing w:after="0" w:line="80"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Disclosure Framework - Changes to the Disclosure Requirements for Fair Value Measurements</w:t>
      </w:r>
      <w:r>
        <w:rPr>
          <w:rFonts w:ascii="Arial" w:cs="Arial" w:eastAsia="Arial" w:hAnsi="Arial"/>
          <w:sz w:val="16"/>
          <w:szCs w:val="16"/>
          <w:color w:val="auto"/>
        </w:rPr>
        <w:t>, which eliminates, adds and modifies certain disclosure requirements for fair value measurements as part of the FASB’s disclosure framework project. Among the changes, entities will no longer be required to disclose the amount of and reasons for transfers between Levels 1 and 2 of the fair value hierarchy, but will be required to disclose the range and weighted average used to develop significant unobservable inputs for Level 3 fair value measurements. The Company adopted this new guidance as of January 1, 2020, which did not impact its consolidated financial statements and related disclosures.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which clarifies the accounting for implementation, set-up, and other upfront costs incurred in cloud computing arrangements. The Company adopted this new guidance as of January 1, 2020, which did not impact its consolidated financial statements and related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17" w:lineRule="exact"/>
        <w:rPr>
          <w:sz w:val="20"/>
          <w:szCs w:val="20"/>
          <w:color w:val="auto"/>
        </w:rPr>
      </w:pPr>
    </w:p>
    <w:p>
      <w:pPr>
        <w:jc w:val="both"/>
        <w:ind w:right="240" w:firstLine="510"/>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is intended to simplify the accounting for income taxes. ASU 2019-12 removes certain exceptions to the general principles in Topic 740 and also clarifies and amends existing guidance to improve consistent application. The new standard will be effective beginning January 1, 2021. The Company is currently evaluating the impact of adopting this guidance on its consolidated financial statements and related disclosures.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3. Accrued and Other Current Liabilities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720" w:type="dxa"/>
            <w:vAlign w:val="bottom"/>
          </w:tcPr>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3"/>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salaries and benefits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legal fees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other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8,880</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the Company’s fair value hierarchy for assets measured at fair value on a recurring basis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March 31, 2020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143,175</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143,175</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80,727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80,727</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74,959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74,959</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Corporate notes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48,251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48,251</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143,175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203,937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December 31, 2019</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155,276</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155,276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Repurchase agreements</w:t>
            </w:r>
          </w:p>
        </w:tc>
        <w:tc>
          <w:tcPr>
            <w:tcW w:w="2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2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Corporate notes</w:t>
            </w: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1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jc w:val="both"/>
        <w:ind w:right="140" w:firstLine="510"/>
        <w:spacing w:after="0" w:line="311" w:lineRule="auto"/>
        <w:rPr>
          <w:sz w:val="20"/>
          <w:szCs w:val="20"/>
          <w:color w:val="auto"/>
        </w:rPr>
      </w:pPr>
      <w:r>
        <w:rPr>
          <w:rFonts w:ascii="Arial" w:cs="Arial" w:eastAsia="Arial" w:hAnsi="Arial"/>
          <w:sz w:val="16"/>
          <w:szCs w:val="16"/>
          <w:color w:val="auto"/>
        </w:rPr>
        <w:t>The marketable securities are classified as available-for-sale and consist of U.S. treasury securities, corporate notes and commercial paper.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marketable securities held at March 31, 2020 and December 31, 2019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Amortized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Arial" w:cs="Arial" w:eastAsia="Arial" w:hAnsi="Arial"/>
                <w:sz w:val="18"/>
                <w:szCs w:val="18"/>
                <w:b w:val="1"/>
                <w:bCs w:val="1"/>
                <w:color w:val="auto"/>
              </w:rPr>
              <w:t>As of March 31, 2020</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Cost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5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80,161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Commercial paper</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74,958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Corporate notes</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39,776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marketable securities, current</w:t>
            </w:r>
          </w:p>
        </w:tc>
        <w:tc>
          <w:tcPr>
            <w:tcW w:w="15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194,895</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195,404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Corporate notes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marketable securities, noncurrent</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Amortized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34"/>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As of December 31, 2019</w:t>
            </w:r>
          </w:p>
        </w:tc>
        <w:tc>
          <w:tcPr>
            <w:tcW w:w="15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Cost</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Commercial paper</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Corporate notes</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39,956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Total marketable securities, current</w:t>
            </w:r>
          </w:p>
        </w:tc>
        <w:tc>
          <w:tcPr>
            <w:tcW w:w="15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2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124,678</w:t>
            </w:r>
          </w:p>
        </w:tc>
        <w:tc>
          <w:tcPr>
            <w:tcW w:w="24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124,684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FF0FC"/>
            </w:tcBorders>
            <w:shd w:val="clear" w:color="auto" w:fill="CFF0FC"/>
          </w:tcPr>
          <w:p>
            <w:pPr>
              <w:spacing w:after="0"/>
              <w:rPr>
                <w:sz w:val="18"/>
                <w:szCs w:val="18"/>
                <w:color w:val="auto"/>
              </w:rPr>
            </w:pPr>
          </w:p>
        </w:tc>
        <w:tc>
          <w:tcPr>
            <w:tcW w:w="15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Corporate notes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11,692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marketable securities, noncurrent</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All marketable securities held at March 31, 2020 and December 31, 2019 had contractual maturities of less than 18 months. There were no realized gains or losses recognized on the sale or maturity of available-for-sale debt securities during the three months ended March 31, 2020 and 2019, respectively, and as a result, the Company did not reclassify any amounts out of accumulated comprehensive loss. As of March 31, 2020 and December 31, 2019, the Company had no allowance for credit losses for available-for-sale debt securities. There were no impairment charges or recoveries recorded during each of the three months ended March 31, 2020 and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Company has entered into service agreements with a variety of service providers, pursuant to which such service providers agreed to perform activities in connection with the manufacturing of certain materials. Such agreements, and related amendments, state that planned activities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 As of March 31, 2020 and December 31, 2019, the total amount of cancelable and/or non-cancelable purchase obligations, including accrued amounts, under these agreements were $29.8 million and $4.7 million, respectively. Expense recognized under these agreements during the period, including amounts paid and accrued, for the three months ended March 31, 2020 and 2019 were $4.1 million and $1.0 million, respectively. As of March 31, 2020, the Company had not incurred any cancellation fees. 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Liability related to Sale of Future Royalties</w:t>
      </w:r>
    </w:p>
    <w:p>
      <w:pPr>
        <w:spacing w:after="0" w:line="121"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On December 1, 2019, the Company and its subsidiary Kodiak Sciences GmbH entered into a funding agreement with Baker Bros. Advisors, LP (“BBA”), which holds more than 5% of the Company’s stock, pursuant to which BBA purchased the right to receive a capped 4.5% royalty on future net sales of KSI-301, the Company’s anti-VEGF antibody biopolymer conjugate therapy, in exchange for $225.0 million. The royalty terminates upon the date that BBA has received an aggregate amount equal to 4.5 times the funding amount paid to the Company, unless earlier terminated or repurchased by the Company. Under the terms of the funding agreement, there is no obligation to repay any funding amount received, other than through the capped royalty payments on future product revenues. The Company has the option, exercisable at any point during the term of the funding agreement, to repurchase 100% of the royalties due to BBA for a purchase price equal to 4.5 times the funding amount paid to the Company as of such time, less amounts paid by the Company to BBA.</w:t>
      </w:r>
    </w:p>
    <w:p>
      <w:pPr>
        <w:spacing w:after="0" w:line="8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closing of the funding agreement was subject to certain conditions and occurred in February 2020. The Company received $100.0 million of the funding on February 4, 2020. The remaining $125.0 million shall be payable to the Company upon enrollment of 50% of the patients in the planned RVO clinical program.</w:t>
      </w:r>
    </w:p>
    <w:p>
      <w:pPr>
        <w:spacing w:after="0" w:line="76"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 xml:space="preserve">The Company recorded the initial $100.0 million payment as a liability on the consolidated balance sheet net of issuance costs as of March 31, 2020, in accordance with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Under ASC 730, the significant related party relationship between the Company and BBA creates an implicit obligation to repay the funding amount paid to the Company.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right="380" w:firstLine="510"/>
        <w:spacing w:after="0" w:line="308" w:lineRule="auto"/>
        <w:rPr>
          <w:sz w:val="20"/>
          <w:szCs w:val="20"/>
          <w:color w:val="auto"/>
        </w:rPr>
      </w:pPr>
      <w:r>
        <w:rPr>
          <w:rFonts w:ascii="Arial" w:cs="Arial" w:eastAsia="Arial" w:hAnsi="Arial"/>
          <w:sz w:val="17"/>
          <w:szCs w:val="17"/>
          <w:color w:val="auto"/>
        </w:rPr>
        <w:t>In January 2020 and 2019, the number of shares of common stock available for issuance under the 2018 Equity Incentive Plan was increased by approximately by 1.8 million and 1.5 million shares, respectively, as a result of the automatic increase provision in the 2018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 option activity under the 2018 Plan and 2015 Equity Incentive Plan is summarized as follows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2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Intrinsic</w:t>
            </w:r>
          </w:p>
        </w:tc>
        <w:tc>
          <w:tcPr>
            <w:tcW w:w="2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20" w:type="dxa"/>
            <w:vAlign w:val="bottom"/>
          </w:tcPr>
          <w:p>
            <w:pPr>
              <w:spacing w:after="0"/>
              <w:rPr>
                <w:sz w:val="20"/>
                <w:szCs w:val="20"/>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6,830,442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373,514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Forfeited or canceled</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(65,972)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20.55</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(39,297)</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Outstanding at March 31, 2020</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6,725,173</w:t>
            </w:r>
          </w:p>
        </w:tc>
        <w:tc>
          <w:tcPr>
            <w:tcW w:w="16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17.96</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8.50</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227,347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8"/>
        </w:trPr>
        <w:tc>
          <w:tcPr>
            <w:tcW w:w="4760" w:type="dxa"/>
            <w:vAlign w:val="bottom"/>
          </w:tcPr>
          <w:p>
            <w:pPr>
              <w:spacing w:after="0"/>
              <w:rPr>
                <w:sz w:val="24"/>
                <w:szCs w:val="24"/>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Restricted share activity, including restricted stock awards, restricted stock units, and performance-based restricted stock units, under the 2018 Plan and 2015 Plan is summarized as follows (in thousands, except shares and per share data):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20" w:type="dxa"/>
            <w:vAlign w:val="bottom"/>
          </w:tcPr>
          <w:p>
            <w:pPr>
              <w:spacing w:after="0"/>
              <w:rPr>
                <w:sz w:val="18"/>
                <w:szCs w:val="18"/>
                <w:color w:val="auto"/>
              </w:rPr>
            </w:pPr>
          </w:p>
        </w:tc>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Number of</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20" w:type="dxa"/>
            <w:vAlign w:val="bottom"/>
          </w:tcPr>
          <w:p>
            <w:pPr>
              <w:spacing w:after="0"/>
              <w:rPr>
                <w:sz w:val="18"/>
                <w:szCs w:val="18"/>
                <w:color w:val="auto"/>
              </w:rPr>
            </w:pPr>
          </w:p>
        </w:tc>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Restricted</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6720" w:type="dxa"/>
            <w:vAlign w:val="bottom"/>
          </w:tcPr>
          <w:p>
            <w:pPr>
              <w:spacing w:after="0"/>
              <w:rPr>
                <w:sz w:val="20"/>
                <w:szCs w:val="20"/>
                <w:color w:val="auto"/>
              </w:rPr>
            </w:pPr>
          </w:p>
        </w:tc>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w w:val="86"/>
              </w:rPr>
              <w:t>Shares</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Fair Value</w:t>
            </w: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4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160,747</w:t>
            </w:r>
          </w:p>
        </w:tc>
        <w:tc>
          <w:tcPr>
            <w:tcW w:w="3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(1,847)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r>
      <w:tr>
        <w:trPr>
          <w:trHeight w:val="230"/>
        </w:trPr>
        <w:tc>
          <w:tcPr>
            <w:tcW w:w="8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Canceled</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(4,000)</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73.51</w:t>
            </w:r>
          </w:p>
        </w:tc>
        <w:tc>
          <w:tcPr>
            <w:tcW w:w="120" w:type="dxa"/>
            <w:vAlign w:val="bottom"/>
            <w:shd w:val="clear" w:color="auto" w:fill="CFF0FC"/>
          </w:tcPr>
          <w:p>
            <w:pPr>
              <w:spacing w:after="0"/>
              <w:rPr>
                <w:sz w:val="19"/>
                <w:szCs w:val="19"/>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Unvested at March 31, 2020</w:t>
            </w:r>
          </w:p>
        </w:tc>
        <w:tc>
          <w:tcPr>
            <w:tcW w:w="14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154,900</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61.19</w:t>
            </w:r>
          </w:p>
        </w:tc>
        <w:tc>
          <w:tcPr>
            <w:tcW w:w="12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Options and Restricted Stock Units</w:t>
      </w:r>
    </w:p>
    <w:p>
      <w:pPr>
        <w:spacing w:after="0" w:line="117"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The Company granted 170,150 performance-based stock options and 128,900 performance-based restricted stock units (“RSUs”) to employees in 2019. These performance-based equity awards will vest one-quarter upon the achievement of specific clinical development milestones. The remaining shares will then vest in three equal annual installments after that date. Performance-based stock options and performance-based restricted stock units are recorded as expense beginning when vesting events are determined to be probable.</w:t>
      </w:r>
    </w:p>
    <w:p>
      <w:pPr>
        <w:spacing w:after="0" w:line="63"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None of these performance-based equity awards vested during 2019. The Company believes that the achievement of the requisite performance condition continues to be probable and stock-based compensation expense recognized was $1.8 million and none during the three months ended March 31,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is classified in the condensed consolidated statements of operations and comprehensive loss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7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520" w:type="dxa"/>
            <w:vAlign w:val="bottom"/>
            <w:tcBorders>
              <w:bottom w:val="single" w:sz="8" w:color="CFF0FC"/>
            </w:tcBorders>
          </w:tcPr>
          <w:p>
            <w:pPr>
              <w:spacing w:after="0"/>
              <w:rPr>
                <w:sz w:val="19"/>
                <w:szCs w:val="19"/>
                <w:color w:val="auto"/>
              </w:rPr>
            </w:pPr>
          </w:p>
        </w:tc>
        <w:tc>
          <w:tcPr>
            <w:tcW w:w="220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23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FF0FC"/>
          </w:tcPr>
          <w:p>
            <w:pPr>
              <w:spacing w:after="0"/>
              <w:rPr>
                <w:sz w:val="19"/>
                <w:szCs w:val="19"/>
                <w:color w:val="auto"/>
              </w:rPr>
            </w:pP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3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FF0FC"/>
            </w:tcBorders>
          </w:tcPr>
          <w:p>
            <w:pPr>
              <w:spacing w:after="0"/>
              <w:rPr>
                <w:sz w:val="19"/>
                <w:szCs w:val="19"/>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22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23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6,082</w:t>
            </w:r>
          </w:p>
        </w:tc>
        <w:tc>
          <w:tcPr>
            <w:tcW w:w="3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As of March 31, 2020, the unrecognized stock-based compensation of unvested stock options, restricted stock units, and performance-based options and restricted stock units was $70.7 million and it is expected to be recognized over a weighted-average period of 2.96 years.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Common Share</w:t>
      </w:r>
    </w:p>
    <w:p>
      <w:pPr>
        <w:spacing w:after="0" w:line="121"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following common share equivalents were excluded from the computation of diluted net loss per common share for the periods presented because their inclusion would have been antidilutive: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36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b w:val="1"/>
                <w:bCs w:val="1"/>
                <w:color w:val="auto"/>
                <w:w w:val="94"/>
              </w:rPr>
              <w:t>As of March 31,</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6,725,173</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5,055,267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shares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154,900</w:t>
            </w:r>
          </w:p>
        </w:tc>
        <w:tc>
          <w:tcPr>
            <w:tcW w:w="3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6,880,073</w:t>
            </w:r>
          </w:p>
        </w:tc>
        <w:tc>
          <w:tcPr>
            <w:tcW w:w="3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5,080,520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2019, included in our Annual Report on Form 10-K filed with the Securities and Exchange Commission, or the SEC, on March 16, 2020.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Our goal is to prevent and treat the major causes of blindness by developing next-generation therapeutics for chronic, high-prevalence retinal diseases.</w:t>
      </w:r>
    </w:p>
    <w:p>
      <w:pPr>
        <w:spacing w:after="0" w:line="62"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Throughout 2019 and into 2020, we have generated clinical data with our most advanced product candidate, KSI-301, a biologic therapy built with our antibody biopolymer conjugate platform, or ABC Platform, which is designed to maintain potent and effective drug levels in ocular tissues for longer periods than the currently-marketed biologic medicines used to treat retinal diseases. To date, KSI-301 has been administered approximately 800 times to approximately 250 patients. We believe that KSI-301, if approved, has the potential to be an important therapy to treat patients with wet age-related macular degeneration, or wet AMD, diabetic retinopathy, or DR, including diabetic macular edema, or DME, and macular edema due to retinal vein occlusion, or RVO.</w:t>
      </w:r>
    </w:p>
    <w:p>
      <w:pPr>
        <w:spacing w:after="0" w:line="84"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our ongoing Phase 1b clinical study, in which enrollment is complete, we have administered multiple doses of KSI-301 to treatment-naïve patients with wet AMD, DME or RVO, and we continue to observe promising safety, efficacy, and clinical durability in the emerging data in each of the retinal diseases under study. We believe the data support an acceleration of efforts to bring KSI-301 to the market in these retinal diseases and that the data lend confidence to the design of our current and planned pivotal studies of KSI-301. We believe these clinical studies, if successful, may demonstrate a meaningfully differentiated clinical profile of KSI-301 as compared to current therapies, and we also believe that this profile would allow KSI-301 to compete effectively in the evolving commercial and product landscape. The potential clinical (and thus commercial/competitive) advantages of a long-acting retinal therapeutic such as KSI-301 go well beyond fewer and less frequent injections over time, and also include the potential for patients to better retain their vision over the long term due to fewer missed treatments or drug holidays resulting from more manageable treatment schedules. Moreover, a longer-acting medicine allows patients with vision-threatening diseases to remain on effective treatment even in context of disruptions in the ordinary course as well as extraordinary disruptions such as that exemplified by the COVID-19 pandemic, where more frequent clinic visits may not be possible or allowed in certain regions or countries.</w:t>
      </w:r>
    </w:p>
    <w:p>
      <w:pPr>
        <w:spacing w:after="0" w:line="74"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Based on the encouraging data that continue to be observed in our Phase 1b study, we are planning to expand the KSI-301 clinical pivotal program in the second half of 2020, and we are also entering into the manufacturing-related commitments necessary for KSI-301’s commercial scale-up and BLA submission. We believe the intersection of these clinical and manufacturing trajectories are on track per our “2022 Vision” to submit a single BLA for wAMD, DME and RVO in calendar year 2022.</w:t>
      </w:r>
    </w:p>
    <w:p>
      <w:pPr>
        <w:spacing w:after="0" w:line="79"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2019, we completed an end of phase 2 meeting with the U.S. Food and Drug Administration, or FDA, where we agreed on the order and number of clinical studies required to support the licensure of KSI-301 in wet AMD, DME, RVO and non-proliferative DR (NPDR without DME). We confirmed that two studies conducted in a single indication are expected by FDA in order to demonstrate the initial safety and efficacy of KSI-301 and that one study each in the additional disease indications, if successful, can be used to support approval in the additional indications. We currently plan to begin patient recruitment in our pivotal studies in DME, RVO and potentially DR (without DME) in 2020, and the pivotal study for wet AMD began recruiting in the third quarter of 2019.</w:t>
      </w:r>
    </w:p>
    <w:p>
      <w:pPr>
        <w:spacing w:after="0" w:line="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Following our communications with FDA at the time of our end of phase 2 meetings as well as subsequent communications, we have further upgraded our pivotal study program and now intend to conduct two Phase 3 studies in DME to provide the mutually-confirmatory studies required by FDA for initial demonstration of safety and efficacy, one Phase 2/3 study in wAMD (our ongoing DAZZLE study), one Phase 3 study in RVO, and one Phase 3 study in NPDR without DME. By conducting our paired studies in DME, we are able to generate additional data on the efficacy, safety, and durability of KSI-301 in this area of high unmet need and commercial opportunity, while also narrowing the number of sites and countries required for successful enrollment of the entire pivotal program. We expect a majority of research sites to be located in the US with contributions from EU countries and China. Given that we are currently seeing continued new patient enrollment and low missed visit rates in our DAZZLE wAMD pivotal study in the US despite the ongoing COVID-19 pandemic, we believe refocusing the KSI-301 program helps minimize uncertainty with respect to clinical trial conduct during and through the COVID-19 pandemic and towards our “2022 Vision.” Additional specific reasons for running paired DME pivotals (and one RVO pivotal) include: fewer countries and sites needed for two DME studies versus two RVO studies (avoiding the cost and logistical burdens of opening and supporting clinical trial sites that would only participate in RVO studies); better oversight of operational execution (essentially all sites can concurrently enroll treatment naïve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5" w:name="page16"/>
    <w:bookmarkEnd w:id="15"/>
    <w:p>
      <w:pPr>
        <w:ind w:right="140"/>
        <w:spacing w:after="0" w:line="279" w:lineRule="auto"/>
        <w:rPr>
          <w:sz w:val="20"/>
          <w:szCs w:val="20"/>
          <w:color w:val="auto"/>
        </w:rPr>
      </w:pPr>
      <w:r>
        <w:rPr>
          <w:rFonts w:ascii="Arial" w:cs="Arial" w:eastAsia="Arial" w:hAnsi="Arial"/>
          <w:sz w:val="17"/>
          <w:szCs w:val="17"/>
          <w:color w:val="auto"/>
        </w:rPr>
        <w:t>patients in wAMD, DME and RVO); lower probability of disruption; higher unmet need in DME versus RVO; marginal, if any, increase in overall trial execution costs; and the potential for similar timelines for two DME versus two RVO pivotals. On top of these operational considerations, we remain pleased with the DME clinical data we are seeing in the Phase 1b study and want to align greater clinical data generation in DME given the larger number of diabetic patients and higher unmet need and market opportunity as compared to that of RVO.</w:t>
      </w:r>
    </w:p>
    <w:p>
      <w:pPr>
        <w:spacing w:after="0" w:line="63"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ABC Platform and KSI-301 were developed at Kodiak, and we own rights to these assets in key geographies including the US, EU, China and other major countries. We have applied our ABC Platform to develop additional product candidates beyond KSI-301, including KSI-501, our bispecific anti-IL-6/VEGF bioconjugate, and we are expanding our early research pipeline to include ABC Platform-based triplet inhibitors for multifactorial retinal diseases such as dry AMD and the neurodegenerative aspects of glaucoma. We intend to progress these and other product candidates to address high-prevalence ophthalmic diseases.</w:t>
      </w:r>
    </w:p>
    <w:p>
      <w:pPr>
        <w:spacing w:after="0" w:line="80"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Our overall objective is to develop our product candidates, seek FDA and worldwide health authority marketing authorization approvals, and ultimately commercialize our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We have implemented various enhancements into our ongoing study execution to help ensure the safety of patients, physicians, study site staff and Kodiak operations team members in the current COVID-19 pandemic, including the use of remote study monitoring. To date, we are seeing minimal disruption from COVID-19 in our ongoing clinical trials. In DAZZLE, patient missed visit rates are less than 5%, and clinical trial sites continue to enroll new patients. This is a testament to the serious diseases we are attempting to treat and is a vote of confidence from the patients, physicians and study sites partnering with us to advance KSI-301. With $430.4 million in cash, cash equivalents and marketable securities and thoughtful management of our spending, we remain on a strong financial footing.</w:t>
      </w:r>
    </w:p>
    <w:p>
      <w:pPr>
        <w:spacing w:after="0" w:line="8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delayed initiation of the next set of KSI-301 pivotal studies by one quarter from June to September 2020 in order to assess with physicians and business partners how best to minimize the impact of COVID-19 on clinical trial conduct. But our 2022 Vision towards a BLA filing in the key retinal disease indications currently remains intact, and we have taken good advantage of this delay to upgrade the pivotal study plan for KSI-301. We now intend to conduct two Phase 3 studies in DME, one Phase 2/3 study in wet AMD (our ongoing DAZZLE study), one Phase 3 study in RVO, and one Phase 3 study in non-proliferative DR. Importantly, the data emerging in our Phase 1b study remain consistent with our observations detailed in February of this year, and we plan to provide another R&amp;D update in July 2020, either virtually or at the American Society of Retina Specialists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March 2020, the World Health Organization declared a pandemic related to the global COVID-19 outbreak. Governments have taken preventative and protective actions, including but not limited to, restrictions on non-essential travel, business operations, and gatherings of individuals. The State of California, where our headquarters is located in the San Francisco Bay Area, declared a state of emergency and shelter-in-place order in March 2020 which remains in effect at this time. Despite these orders, we and our key clinical and manufacturing partners have been largely able to continue to advance our operations. These government actions and responses continue to evolve and are expected to continue into the summer.</w:t>
      </w:r>
    </w:p>
    <w:p>
      <w:pPr>
        <w:spacing w:after="0" w:line="53"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Global financial markets have also experienced extreme volatility and as a result, economic uncertainties have arisen which could impact the Company’s operations and its financial position. The extent of the impact of COVID-19 will depend on certain developments, including the duration and spread of the outbreak, regulatory and private sector responses, and the impact on our employees, vendors including supply chain and clinical partners, all of which are uncertain and cannot be predicted.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jc w:val="both"/>
        <w:ind w:right="60" w:firstLine="510"/>
        <w:spacing w:after="0" w:line="263" w:lineRule="auto"/>
        <w:rPr>
          <w:sz w:val="20"/>
          <w:szCs w:val="20"/>
          <w:color w:val="auto"/>
        </w:rPr>
      </w:pPr>
      <w:r>
        <w:rPr>
          <w:rFonts w:ascii="Arial" w:cs="Arial" w:eastAsia="Arial" w:hAnsi="Arial"/>
          <w:sz w:val="18"/>
          <w:szCs w:val="18"/>
          <w:color w:val="auto"/>
        </w:rPr>
        <w:t>Because the diseases under study in the KSI-301 development program are serious, vision-threatening conditions for which patients are still seeking and receiving treatment from retina specialists during the pandemic, we have been able to continue advancing the clinical programs for KSI-301 during the outbreak towards achieving our “2022 Vision.”</w:t>
      </w:r>
    </w:p>
    <w:p>
      <w:pPr>
        <w:spacing w:after="0" w:line="76"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We continue to monitor government responses and may elect to temporarily close our office and/or laboratory space to protect our employees. We continue to assess the potential for supply chain disruptions as the pandemic may impact personnel at third party manufacturing facilities in China, Switzerland and other countries, as well as its impact on the availability and/or cost of materials.</w:t>
      </w:r>
    </w:p>
    <w:p>
      <w:pPr>
        <w:spacing w:after="0" w:line="7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During this pandemic, we continue to work closely with our clinical sites towards maximal patient safety and the lowest number of missed visits and study discontinuations. We have taken and continue to take proactive measures to maintain the integrity of our ongoing clinical studies. To date, we are seeing low levels of patient missed visits (&lt;5%).</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response to the COVID-19 global pandemic with regards to business operations, clinical trials, and manufacturing activities:</w:t>
      </w:r>
    </w:p>
    <w:p>
      <w:pPr>
        <w:spacing w:after="0" w:line="117" w:lineRule="exact"/>
        <w:rPr>
          <w:sz w:val="20"/>
          <w:szCs w:val="20"/>
          <w:color w:val="auto"/>
        </w:rPr>
      </w:pPr>
    </w:p>
    <w:p>
      <w:pPr>
        <w:ind w:left="620" w:right="20" w:hanging="113"/>
        <w:spacing w:after="0" w:line="263"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taken steps in line with guidance from the U.S. Centers for Disease Control and Prevention, or CDC, and the State of California to protect the health and safety of our employees and the community. In particular, the Company has implemented remote work arrangements for non-essential employees since March 17, 2020.</w:t>
      </w:r>
    </w:p>
    <w:p>
      <w:pPr>
        <w:spacing w:after="0" w:line="75" w:lineRule="exact"/>
        <w:rPr>
          <w:rFonts w:ascii="Arial" w:cs="Arial" w:eastAsia="Arial" w:hAnsi="Arial"/>
          <w:sz w:val="18"/>
          <w:szCs w:val="18"/>
          <w:color w:val="auto"/>
        </w:rPr>
      </w:pPr>
    </w:p>
    <w:p>
      <w:pPr>
        <w:ind w:left="620" w:right="100" w:hanging="113"/>
        <w:spacing w:after="0" w:line="291"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working closely with our clinical trial sites to monitor and attempt to minimize the potential impacts of the evolving COVID-19 outbreak on patient enrollment, continued participation of patients already enrolled in our clinical studies, protocol compliance, data quality, and overall study integrity. Some specific actions we have taken in the United States include the use of remote study monitoring, temporarily increasing study site budget overhead rates, providing additional transportation service options for patients to attend study site visits and focusing on new patient enrollment only at study sites with appropriate backup resource plans in place and where the local COVID-19 situation allows. In the months of March and April 2020, the rate of missed study visits remained &lt;5%. As of now, we have not experienced significant delays to our ongoing or planned clinical trials; however, this could change rapidly depending on the dynamics of the pandemic.</w:t>
      </w:r>
    </w:p>
    <w:p>
      <w:pPr>
        <w:spacing w:after="0" w:line="58" w:lineRule="exact"/>
        <w:rPr>
          <w:rFonts w:ascii="Arial" w:cs="Arial" w:eastAsia="Arial" w:hAnsi="Arial"/>
          <w:sz w:val="16"/>
          <w:szCs w:val="16"/>
          <w:color w:val="auto"/>
        </w:rPr>
      </w:pPr>
    </w:p>
    <w:p>
      <w:pPr>
        <w:ind w:left="620" w:right="180" w:hanging="113"/>
        <w:spacing w:after="0" w:line="342"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first quarter of 2020, we activated DAZZLE study sites in the EU, but due to the pandemic we deferred study patient screening. We expect to begin patient recruitment activities at certain sites in the EU in the second quarter of 2020 as guided by the local COVID-19 situation.</w:t>
      </w:r>
    </w:p>
    <w:p>
      <w:pPr>
        <w:spacing w:after="0" w:line="15" w:lineRule="exact"/>
        <w:rPr>
          <w:rFonts w:ascii="Arial" w:cs="Arial" w:eastAsia="Arial" w:hAnsi="Arial"/>
          <w:sz w:val="16"/>
          <w:szCs w:val="16"/>
          <w:color w:val="auto"/>
        </w:rPr>
      </w:pPr>
    </w:p>
    <w:p>
      <w:pPr>
        <w:ind w:left="620" w:right="200" w:hanging="113"/>
        <w:spacing w:after="0" w:line="25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minimize the potential for disruption of our planned pivotal studies of KSI-301, we are currently refining the study designs, including sample size and country selection. We currently plan to start enrollment of our pivotal DME and RVO studies in the late third quarter of 2020 or early fourth quarter of 2020, and the pivotal study in non-proliferative DR in the fourth quarter of 2020, dependent on the continued evolution of the COVID-19 pandemic. With these planned pivotal study starts, we believe we are still on track to achieve our “2022 Vision” objective of filing a single BLA in 2022 for KSI-301 in wAMD, DME and RVO.</w:t>
      </w:r>
    </w:p>
    <w:p>
      <w:pPr>
        <w:spacing w:after="0" w:line="79" w:lineRule="exact"/>
        <w:rPr>
          <w:rFonts w:ascii="Arial" w:cs="Arial" w:eastAsia="Arial" w:hAnsi="Arial"/>
          <w:sz w:val="18"/>
          <w:szCs w:val="18"/>
          <w:color w:val="auto"/>
        </w:rPr>
      </w:pPr>
    </w:p>
    <w:p>
      <w:pPr>
        <w:ind w:left="620" w:right="560" w:hanging="113"/>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supply chain and manufacturing activities remain intact, and we do not currently anticipate disruptions to our supply of KSI-301 due to COVID-19.</w:t>
      </w:r>
    </w:p>
    <w:p>
      <w:pPr>
        <w:spacing w:after="0" w:line="62"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We will continue to monitor the COVID-19 situation closely. The ultimate impact of the COVID-19 pandemic on our business operations is highly uncertain and subject to change. We do not yet know the full extent of potential delays or impacts on our business, our clinical trials, healthcare systems or the global economy as a whole.</w:t>
      </w:r>
    </w:p>
    <w:p>
      <w:pPr>
        <w:spacing w:after="0" w:line="7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bispecific conjugate KSI-501 inhibits both interleukin 6, or IL-6, and Vascular Endothelial Growth Factor, or VEGF. Tissue based IL-6 mediated inflammatory response syndromes have been associated with severe COVID-19 disease. As such, IL-6 blockade is being explored as a novel therapeutic strategy in patients with severe COVID-19 disease and promising results have been recently reported in COVID-19 patients with critical illness. Similarly, tissue specific edema such as pulmonary edema is implicated in severe COVID-19 disease. VEGF in the alveolar space is a potent inducer of vascular permeability and resultant pulmonary edema which plays a pathological role in lung dysfunction. Emerging data show VEGF levels are elevated in COVID-19 patients, and a Chinese clinical study is currently assessing the efficacy of anti-VEGF therapy in COVID-19. OG2072, the bispecific fusion protein used to build our ophthalmology product candidate KSI-501, binds with high affinity to both of its targets simultaneously (IL-6 and VEGF). Intriguingly, we have seen synergistic inhibition in vitro and we are interested in the possible unique benefit this synergistic inhibition may have in lung and other organs that can be severely damaged by SARS-CoV2 and the associated immunologic and tissue responses. Further, unlike currently marketed anti-VEGF and anti-IL-6R antibodies, OG2072’s Fc region is immunologically inert and does not activate immune effector functions. OG2072 may thus be beneficial in preventing further immune-mediated tissue damage in the lung, kidney, heart and other organs affected in critical illness due to COVID-19. To this end, we are advancing by six or more months the GMP manufacturing for OG2072, which could both enable a potential assessment of systemically administered OG2072 in patients with worsening COVID-19 disease (for example, as part of ongoing basket studies of potential COVID-19 therapeutics). Ancillary benefits of this acceleration include the use of GMP material for KSI-501 toxicology program and a more predictable IND submission and First in Human timeline for KSI-501 in patients with retinal vascular diseases featuring an inflammatory component.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Funding Agreement</w:t>
      </w:r>
    </w:p>
    <w:p>
      <w:pPr>
        <w:spacing w:after="0" w:line="11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On December 1, 2019, we and our subsidiary, Kodiak Sciences GmbH, entered into a funding agreement with Baker Bros. Advisors, or BBA, pursuant to which BBA purchased the right to receive a capped 4.5% royalty on future net sales of KSI-301 in exchange for $225.0 million in committed development funding payable to us. Unless earlier terminated or re-purchased by us, the royalty terminates upon the date that BBA has received an aggregate amount equal to 4.5 times the funding amount paid to us. On February 4, 2020, BBA paid us the first $100.0 million of the funding amount, and the remaining $125.0 million of the funding amount will be paid following the achievement of 50% enrollment in the planned RVO clinical program. We have the option, exercisable at any point during the term of the funding agreement, to repurchase from BBA 100% of the royalties due to BBA under the funding agreement for a purchase price equal to the funding amount paid to us as of such time times 4.5, less amounts paid by us to BBA.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On December 6, 2019, we completed a follow-on equity offering and issued and sold 6,900,000 shares of the Company’s common stock at a price to the public of $46.00 per share. The gross proceeds from this offering were $317.4 million, resulting in aggregate net proceeds of $297.6 million after deducting underwriting discounts and commissions and other offering costs payable by us.</w:t>
      </w:r>
    </w:p>
    <w:p>
      <w:pPr>
        <w:spacing w:after="0" w:line="76"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Proceeds from the royalty funding agreement together with our current cash, cash equivalents and marketable securities, which includes proceeds from the equity offering, are expected to advance the clinical programs for KSI-301 towards achieving our “2022 Vision” of a Biologics License Application, or BLA, of KSI-301 in 2022 for wet AMD, DME, RVO and potentially DR without DME, including the manufacturing activities necessary for BLA submission, as well as to advance our pipeline of drug candidates including KSI-501 and our triplet inhibitor drug candidates and for working capital and general corporate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Recent highlights of our activities included:</w:t>
      </w:r>
    </w:p>
    <w:p>
      <w:pPr>
        <w:spacing w:after="0" w:line="117" w:lineRule="exact"/>
        <w:rPr>
          <w:sz w:val="20"/>
          <w:szCs w:val="20"/>
          <w:color w:val="auto"/>
        </w:rPr>
      </w:pPr>
    </w:p>
    <w:p>
      <w:pPr>
        <w:ind w:left="620" w:right="120" w:hanging="113"/>
        <w:spacing w:after="0" w:line="25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DAZZLE Study Progress: </w:t>
      </w:r>
      <w:r>
        <w:rPr>
          <w:rFonts w:ascii="Arial" w:cs="Arial" w:eastAsia="Arial" w:hAnsi="Arial"/>
          <w:sz w:val="18"/>
          <w:szCs w:val="18"/>
          <w:color w:val="auto"/>
        </w:rPr>
        <w:t>Recruitment into our DAZZLE pivotal study in wet AMD was robust– a potential reflection of the enthusiasm for KSI-301 on the part of clinical investigators and patients. As of May 8, 245 patients have been enrolled in DAZZLE. We slowed U.S. enrollment beginning in March 2020 and deferred EU patient recruitment due to the COVID-19 pandemic. Existing patients continue to participate with few missed visits to date, and new patients continue to be enrolled in DAZZLE. As of late April 2020, the number of weekly new patient screenings and enrollment at DAZZLE sites in the US is increasing. The Independent Data Monitoring Committee responsible for safeguarding the interests of DAZZLE study participants, assessing safety during the trial, and monitoring overall study conduct met in early May 2020 and recommended that DAZZLE should continue without modification.</w:t>
      </w:r>
    </w:p>
    <w:p>
      <w:pPr>
        <w:spacing w:after="0" w:line="86" w:lineRule="exact"/>
        <w:rPr>
          <w:rFonts w:ascii="Arial" w:cs="Arial" w:eastAsia="Arial" w:hAnsi="Arial"/>
          <w:sz w:val="18"/>
          <w:szCs w:val="18"/>
          <w:color w:val="auto"/>
        </w:rPr>
      </w:pPr>
    </w:p>
    <w:p>
      <w:pPr>
        <w:ind w:left="620" w:right="120" w:hanging="113"/>
        <w:spacing w:after="0" w:line="255"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Phase 1b Data Presentation: </w:t>
      </w:r>
      <w:r>
        <w:rPr>
          <w:rFonts w:ascii="Arial" w:cs="Arial" w:eastAsia="Arial" w:hAnsi="Arial"/>
          <w:sz w:val="18"/>
          <w:szCs w:val="18"/>
          <w:color w:val="auto"/>
        </w:rPr>
        <w:t>Updated safety and efficacy results from our ongoing Phase 1b trial of KSI-301 in patients with treatment naïve wet</w:t>
      </w:r>
      <w:r>
        <w:rPr>
          <w:rFonts w:ascii="Arial" w:cs="Arial" w:eastAsia="Arial" w:hAnsi="Arial"/>
          <w:sz w:val="18"/>
          <w:szCs w:val="18"/>
          <w:i w:val="1"/>
          <w:iCs w:val="1"/>
          <w:color w:val="auto"/>
        </w:rPr>
        <w:t xml:space="preserve"> </w:t>
      </w:r>
      <w:r>
        <w:rPr>
          <w:rFonts w:ascii="Arial" w:cs="Arial" w:eastAsia="Arial" w:hAnsi="Arial"/>
          <w:sz w:val="18"/>
          <w:szCs w:val="18"/>
          <w:color w:val="auto"/>
        </w:rPr>
        <w:t>AMD, DME, or RVO were presented at the Angiogenesis, Exudation, and Degeneration Annual Meeting in February 2020. We believe the data continue to support the highly differentiated “anti-VEGF Generation 2.0” profile of KSI-301. We intend to continue presenting data updates from Phase 1b throughout 2020, and if meetings or congresses are canceled due to COVID-19, we anticipate one or more virtual research and development, or R&amp;D, webinars where new data will be presented. Our next planned R&amp;D update is anticipated for July 2020 along with the American Society of Retina Specialists meeting.</w:t>
      </w:r>
    </w:p>
    <w:p>
      <w:pPr>
        <w:spacing w:after="0" w:line="84" w:lineRule="exact"/>
        <w:rPr>
          <w:rFonts w:ascii="Arial" w:cs="Arial" w:eastAsia="Arial" w:hAnsi="Arial"/>
          <w:sz w:val="18"/>
          <w:szCs w:val="18"/>
          <w:color w:val="auto"/>
        </w:rPr>
      </w:pPr>
    </w:p>
    <w:p>
      <w:pPr>
        <w:ind w:left="620" w:right="100" w:hanging="113"/>
        <w:spacing w:after="0" w:line="263"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Further Extension of the Phase 1b Study: </w:t>
      </w:r>
      <w:r>
        <w:rPr>
          <w:rFonts w:ascii="Arial" w:cs="Arial" w:eastAsia="Arial" w:hAnsi="Arial"/>
          <w:sz w:val="18"/>
          <w:szCs w:val="18"/>
          <w:color w:val="auto"/>
        </w:rPr>
        <w:t>Based on positive feedback from investigators and a desire to continue to generate long-term safety and</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outcomes data with KSI-301, we are amending the Phase 1b program to include an additional 18 months of treatment and follow-up per patient, for a total of up to 36 months.</w:t>
      </w:r>
    </w:p>
    <w:p>
      <w:pPr>
        <w:spacing w:after="0" w:line="75" w:lineRule="exact"/>
        <w:rPr>
          <w:rFonts w:ascii="Arial" w:cs="Arial" w:eastAsia="Arial" w:hAnsi="Arial"/>
          <w:sz w:val="18"/>
          <w:szCs w:val="18"/>
          <w:color w:val="auto"/>
        </w:rPr>
      </w:pPr>
    </w:p>
    <w:p>
      <w:pPr>
        <w:ind w:left="620" w:right="100" w:hanging="113"/>
        <w:spacing w:after="0" w:line="296"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Optimized Pivotal Study Program: </w:t>
      </w:r>
      <w:r>
        <w:rPr>
          <w:rFonts w:ascii="Arial" w:cs="Arial" w:eastAsia="Arial" w:hAnsi="Arial"/>
          <w:sz w:val="16"/>
          <w:szCs w:val="16"/>
          <w:color w:val="auto"/>
        </w:rPr>
        <w:t>We have further optimized and improved our pivotal study program and now intend to conduct two Phase 3</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in DME to provide the mutually-confirmatory studies required by FDA for initial demonstration of safety and efficacy, one study in wAMD (our ongoing DAZZLE study), one study in RVO, and one study in NPDR without DME. The paired DME studies introduce numerous operational benefits and generate additional data on the safety, efficacy and durability of KSI-301 in this area of high unmet need and commercial opportunity, while also narrowing the number of sites and countries required for successful enrollment of the entire pivotal program.</w:t>
      </w:r>
    </w:p>
    <w:p>
      <w:pPr>
        <w:spacing w:after="0" w:line="53" w:lineRule="exact"/>
        <w:rPr>
          <w:rFonts w:ascii="Arial" w:cs="Arial" w:eastAsia="Arial" w:hAnsi="Arial"/>
          <w:sz w:val="16"/>
          <w:szCs w:val="16"/>
          <w:color w:val="auto"/>
        </w:rPr>
      </w:pPr>
    </w:p>
    <w:p>
      <w:pPr>
        <w:ind w:left="620" w:right="180" w:hanging="113"/>
        <w:spacing w:after="0" w:line="25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Charles Bancroft Appointed to Board of Directors: </w:t>
      </w:r>
      <w:r>
        <w:rPr>
          <w:rFonts w:ascii="Arial" w:cs="Arial" w:eastAsia="Arial" w:hAnsi="Arial"/>
          <w:sz w:val="18"/>
          <w:szCs w:val="18"/>
          <w:color w:val="auto"/>
        </w:rPr>
        <w:t>Charles Bancroft, formerly Chief Financial Officer of Bristol Myers Squibb (BMS), joined</w:t>
      </w:r>
      <w:r>
        <w:rPr>
          <w:rFonts w:ascii="Arial" w:cs="Arial" w:eastAsia="Arial" w:hAnsi="Arial"/>
          <w:sz w:val="18"/>
          <w:szCs w:val="18"/>
          <w:i w:val="1"/>
          <w:iCs w:val="1"/>
          <w:color w:val="auto"/>
        </w:rPr>
        <w:t xml:space="preserve"> </w:t>
      </w:r>
      <w:r>
        <w:rPr>
          <w:rFonts w:ascii="Arial" w:cs="Arial" w:eastAsia="Arial" w:hAnsi="Arial"/>
          <w:sz w:val="18"/>
          <w:szCs w:val="18"/>
          <w:color w:val="auto"/>
        </w:rPr>
        <w:t>Kodiak’s Board of Directors as chair of our audit committee and member of our nominating and governance committee in April 2020. Charles recently retired from a successful career at BMS where he held a number of leadership roles in commercial, strategy and finance. Charles brings financial and management experience that will be vital to Kodiak as the company continues to scale and build its manufacturing and commercial capabilities.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ind w:left="620" w:hanging="113"/>
        <w:spacing w:after="0" w:line="259"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Kodiak and Kodiak Sciences Trademarks Registered to Kodiak Sciences: </w:t>
      </w:r>
      <w:r>
        <w:rPr>
          <w:rFonts w:ascii="Arial" w:cs="Arial" w:eastAsia="Arial" w:hAnsi="Arial"/>
          <w:sz w:val="18"/>
          <w:szCs w:val="18"/>
          <w:color w:val="auto"/>
        </w:rPr>
        <w:t>The company received full registration of its trademarks “Kodiak” and</w:t>
      </w:r>
      <w:r>
        <w:rPr>
          <w:rFonts w:ascii="Arial" w:cs="Arial" w:eastAsia="Arial" w:hAnsi="Arial"/>
          <w:sz w:val="18"/>
          <w:szCs w:val="18"/>
          <w:i w:val="1"/>
          <w:iCs w:val="1"/>
          <w:color w:val="auto"/>
        </w:rPr>
        <w:t xml:space="preserve"> </w:t>
      </w:r>
      <w:r>
        <w:rPr>
          <w:rFonts w:ascii="Arial" w:cs="Arial" w:eastAsia="Arial" w:hAnsi="Arial"/>
          <w:sz w:val="18"/>
          <w:szCs w:val="18"/>
          <w:color w:val="auto"/>
        </w:rPr>
        <w:t>“Kodiak Sciences” from the U.S. Patent and Trademark Office for the exclusive use of Kodiak Sciences Inc. and its subsidiaries. Obtaining exclusive trademark rights over “Kodiak” and “Kodiak Sciences” strengthens recognition of Kodiak as a leader in the research and development of medicines to treat and prevent retinal diseases.</w:t>
      </w:r>
    </w:p>
    <w:p>
      <w:pPr>
        <w:spacing w:after="0" w:line="79"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Based on the emerging clinical data, our productive EOP meeting with the FDA, and our substantive financing events, we are accelerating our BLA-and pre-commercial manufacturing activities to match the clinical timelines for KSI-301, with the goal of demonstrating a meaningfully-differentiated (</w:t>
      </w:r>
      <w:r>
        <w:rPr>
          <w:rFonts w:ascii="Arial" w:cs="Arial" w:eastAsia="Arial" w:hAnsi="Arial"/>
          <w:sz w:val="17"/>
          <w:szCs w:val="17"/>
          <w:i w:val="1"/>
          <w:iCs w:val="1"/>
          <w:color w:val="auto"/>
        </w:rPr>
        <w:t>i.e.,</w:t>
      </w:r>
      <w:r>
        <w:rPr>
          <w:rFonts w:ascii="Arial" w:cs="Arial" w:eastAsia="Arial" w:hAnsi="Arial"/>
          <w:sz w:val="17"/>
          <w:szCs w:val="17"/>
          <w:color w:val="auto"/>
        </w:rPr>
        <w:t xml:space="preserve"> first line) clinical profile in each of wet AMD, DME, RVO, and DR as compared to currently-marketed medicines.</w:t>
      </w:r>
    </w:p>
    <w:p>
      <w:pPr>
        <w:spacing w:after="0" w:line="5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current cash, cash equivalents and marketable securities which includes the net proceeds from the December 2019 public offering, and together with the royalty funding agreement, provide the resources for us to advance the KSI-301 program towards achieving our “2022 Vision,” and also to advance our pipeline of drug candidates including KSI-501 and our triplet inhibitor drug candidates, and for working capital and general corporate purposes.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Kodiak’s 2022 Vision and KSI-301 Accelerated Development Strategy</w:t>
      </w:r>
    </w:p>
    <w:p>
      <w:pPr>
        <w:spacing w:after="0" w:line="12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believe that we can achieve our “2022 Vision” of a BLA submission and initial FDA approval for KSI-301 in wet AMD, DME, RVO and DR with a total of five pivotal trials— two in DME, one in wet AMD, one in RVO and one in DR without DME. Consequently, we now intend to initiate at least four US/EU-based pivotal trials in 2020 – two matched studies in DME to provide the mutually-confirmatory studies required by FDA for initial demonstration of safety and efficacy, one in patients with either branch RVO, or BRVO, or central RVO, or CRVO, and one in non-proliferative DR without DME. These studies, together with our ongoing pivotal study in wet AMD, will be the basis of our intended BLA and supplemental BLA, or sBLA, submissions. We currently expect to submit the wet AMD, DME, and RVO indications in a single initial BLA for KSI-301 and the DR indication in a supplemental BLA in the United States.</w:t>
      </w:r>
    </w:p>
    <w:p>
      <w:pPr>
        <w:spacing w:after="0" w:line="87"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We continue to invest in our science and our pipeline, including our bispecific ABC product candidate KSI-501 for retinal vascular diseases with a strong inflammatory component and our new triplet inhibitors for the high prevalence multifactorial retinal diseases dry AMD and the neurodegenerative aspects of glaucoma.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65405</wp:posOffset>
            </wp:positionV>
            <wp:extent cx="6163310" cy="3463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ind w:right="420" w:firstLine="510"/>
        <w:spacing w:after="0" w:line="277" w:lineRule="auto"/>
        <w:rPr>
          <w:sz w:val="20"/>
          <w:szCs w:val="20"/>
          <w:color w:val="auto"/>
        </w:rPr>
      </w:pPr>
      <w:r>
        <w:rPr>
          <w:rFonts w:ascii="Arial" w:cs="Arial" w:eastAsia="Arial" w:hAnsi="Arial"/>
          <w:sz w:val="18"/>
          <w:szCs w:val="18"/>
          <w:color w:val="auto"/>
        </w:rPr>
        <w:t>Our 2022 Vision includes the following potential catalysts and milestones in 2020, 2021, 2022, and 2023 along with the important milestones achieved in 2019 that support the accelerated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57150</wp:posOffset>
            </wp:positionV>
            <wp:extent cx="6163310" cy="3463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6331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2022 Vision is built on the following accelerated development strategy, which follows from our FDA end of phase 2 meeting and recent additional discussions. This table incorporates our most recent view of the KSI-301 clinical program and its execution, as described above, and we believe the successful prosecution of this program is achievable based on our currently available information and the current evolving status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67310</wp:posOffset>
            </wp:positionV>
            <wp:extent cx="6163310" cy="2451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6331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Since inception in June 2009, we have devoted substantially all of our resources to discovering and developing product candidates and manufacturing processes, building our ABC Platform and assembling our core capabilities in drug development for ophthalmic disease. We plan to continue to use third-party contract research organizations, or CROs, to carry out our preclinical and clinical development. We rely on third-party contract manufacturing organizations, or CMOs, to manufacture and supply our preclinical and clinical materials to be used during the development of our product candidates. We are evaluating investments in commercial manufacturing capacity. We do not have any products approved for sale and have not generated any product revenue since inception.</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20" w:name="page21"/>
    <w:bookmarkEnd w:id="20"/>
    <w:p>
      <w:pPr>
        <w:ind w:right="100" w:firstLine="510"/>
        <w:spacing w:after="0" w:line="263" w:lineRule="auto"/>
        <w:rPr>
          <w:sz w:val="20"/>
          <w:szCs w:val="20"/>
          <w:color w:val="auto"/>
        </w:rPr>
      </w:pPr>
      <w:r>
        <w:rPr>
          <w:rFonts w:ascii="Arial" w:cs="Arial" w:eastAsia="Arial" w:hAnsi="Arial"/>
          <w:sz w:val="18"/>
          <w:szCs w:val="18"/>
          <w:color w:val="auto"/>
        </w:rPr>
        <w:t>We have funded our operations primarily through equity securities. In October 2018, we completed our initial public offering, or IPO. In December 2019, we completed a follow-on offering. In addition, we entered into a royalty funding agreement and received an initial payment of $100.0 million in February 2020.</w:t>
      </w:r>
    </w:p>
    <w:p>
      <w:pPr>
        <w:spacing w:after="0" w:line="76"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have incurred significant operating losses to date and expect that our operating losses will increase significantly as we advance our product candidates, particularly KSI-301, through preclinical and clinical development, seek regulatory approval, prepare for and, if approved, proceed to commercialization; broaden and improve our platform; acquire, discover, validate and develop additional product candidates; obtain, maintain, protect and enforce our intellectual property portfolio; and hire additional personnel. In addition, we expect to continue incurring costs associated with operating as a public company. Our net loss was $24.4 million for the three months ended March 31, 2020. As of March 31, 2020, we had an accumulated deficit of $182.5 million.</w:t>
      </w:r>
    </w:p>
    <w:p>
      <w:pPr>
        <w:spacing w:after="0" w:line="8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ability to generate product revenue will depend on the successful development and eventual commercialization of one or more of our product candidates.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KSI-301 for wet AMD, RVO, DME or DR without DME or delay our efforts to advance and expand our product pipeline.</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we had cash, cash equivalents and marketable securities of $430.4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70"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are focusing substantially all of our resources and development efforts on the development of our product candidates, in particular KSI-301. We expect our research and development expenses to increase substantially during the next few years as we initiate our Phase 3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76"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the Securities and Exchange Commission, or SEC, investor relations costs and director and officer insurance premiums associated with being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primarily of interest income earned on our cash, cash equivalents and marketable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Other income (expense), net consists primarily of accretion income on marketable debt securities net of amortized issuance costs from the liability related to the future sale of royalties to BBA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results of our operations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Change</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8"/>
                <w:szCs w:val="18"/>
                <w:b w:val="1"/>
                <w:bCs w:val="1"/>
                <w:color w:val="auto"/>
              </w:rPr>
              <w:t>Dollar</w:t>
            </w: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Percent</w:t>
            </w:r>
          </w:p>
        </w:tc>
        <w:tc>
          <w:tcPr>
            <w:tcW w:w="180" w:type="dxa"/>
            <w:vAlign w:val="bottom"/>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w w:val="88"/>
              </w:rPr>
              <w:t>(in thousands, except percentages)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20,170</w:t>
            </w:r>
          </w:p>
        </w:tc>
        <w:tc>
          <w:tcPr>
            <w:tcW w:w="120" w:type="dxa"/>
            <w:vAlign w:val="bottom"/>
          </w:tcPr>
          <w:p>
            <w:pPr>
              <w:spacing w:after="0"/>
              <w:rPr>
                <w:sz w:val="19"/>
                <w:szCs w:val="19"/>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5,723</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14,447</w:t>
            </w: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r>
      <w:tr>
        <w:trPr>
          <w:trHeight w:val="229"/>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2,816</w:t>
            </w: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(17,263)</w:t>
            </w: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29"/>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w:t>
            </w: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(16,408)</w:t>
            </w: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ABC Platform external expenses </w:t>
            </w:r>
            <w:r>
              <w:rPr>
                <w:rFonts w:ascii="Arial" w:cs="Arial" w:eastAsia="Arial" w:hAnsi="Arial"/>
                <w:sz w:val="15"/>
                <w:szCs w:val="15"/>
                <w:color w:val="auto"/>
              </w:rPr>
              <w:t>(1)</w:t>
            </w:r>
          </w:p>
        </w:tc>
        <w:tc>
          <w:tcPr>
            <w:tcW w:w="19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KSI-301 program external expenses </w:t>
            </w:r>
            <w:r>
              <w:rPr>
                <w:rFonts w:ascii="Arial" w:cs="Arial" w:eastAsia="Arial" w:hAnsi="Arial"/>
                <w:sz w:val="15"/>
                <w:szCs w:val="15"/>
                <w:color w:val="auto"/>
              </w:rPr>
              <w:t>(2)</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12,285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KSI-501 program external expenses </w:t>
            </w:r>
            <w:r>
              <w:rPr>
                <w:rFonts w:ascii="Arial" w:cs="Arial" w:eastAsia="Arial" w:hAnsi="Arial"/>
                <w:sz w:val="15"/>
                <w:szCs w:val="15"/>
                <w:color w:val="auto"/>
              </w:rPr>
              <w:t>(3)</w:t>
            </w:r>
          </w:p>
        </w:tc>
        <w:tc>
          <w:tcPr>
            <w:tcW w:w="1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w:t>
            </w: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 xml:space="preserve">Payroll and personnel expenses </w:t>
            </w:r>
            <w:r>
              <w:rPr>
                <w:rFonts w:ascii="Arial" w:cs="Arial" w:eastAsia="Arial" w:hAnsi="Arial"/>
                <w:sz w:val="15"/>
                <w:szCs w:val="15"/>
                <w:color w:val="auto"/>
              </w:rPr>
              <w:t>(4)</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research and development expenses </w:t>
            </w:r>
            <w:r>
              <w:rPr>
                <w:rFonts w:ascii="Arial" w:cs="Arial" w:eastAsia="Arial" w:hAnsi="Arial"/>
                <w:sz w:val="15"/>
                <w:szCs w:val="15"/>
                <w:color w:val="auto"/>
              </w:rPr>
              <w:t>(5)</w:t>
            </w:r>
          </w:p>
        </w:tc>
        <w:tc>
          <w:tcPr>
            <w:tcW w:w="1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FF0FC"/>
          </w:tcPr>
          <w:p>
            <w:pPr>
              <w:spacing w:after="0"/>
              <w:rPr>
                <w:sz w:val="19"/>
                <w:szCs w:val="19"/>
                <w:color w:val="auto"/>
              </w:rPr>
            </w:pPr>
          </w:p>
        </w:tc>
      </w:tr>
      <w:tr>
        <w:trPr>
          <w:trHeight w:val="223"/>
        </w:trPr>
        <w:tc>
          <w:tcPr>
            <w:tcW w:w="496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17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20,170</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14,447</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right="340" w:hanging="492"/>
        <w:spacing w:after="0" w:line="25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ABC Platform external expenses primarily relates to manufacturing of biopolymer intermediate drug substance which can be used with multiple product candidates. These expenses are primarily for services provided by CMOs and CROs.</w:t>
      </w:r>
    </w:p>
    <w:p>
      <w:pPr>
        <w:spacing w:after="0" w:line="1" w:lineRule="exact"/>
        <w:rPr>
          <w:rFonts w:ascii="Arial" w:cs="Arial" w:eastAsia="Arial" w:hAnsi="Arial"/>
          <w:sz w:val="18"/>
          <w:szCs w:val="18"/>
          <w:color w:val="auto"/>
        </w:rPr>
      </w:pPr>
    </w:p>
    <w:p>
      <w:pPr>
        <w:ind w:left="500" w:right="64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KSI-301 program external expenses relates to development of KSI-301, including manufacturing and clinical trial costs. These expenses are primarily for services provided by CMOs and CROs.</w:t>
      </w: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KSI-501 program external expenses relates to research and development of KSI-501.</w:t>
      </w:r>
    </w:p>
    <w:p>
      <w:pPr>
        <w:spacing w:after="0" w:line="9" w:lineRule="exact"/>
        <w:rPr>
          <w:rFonts w:ascii="Arial" w:cs="Arial" w:eastAsia="Arial" w:hAnsi="Arial"/>
          <w:sz w:val="18"/>
          <w:szCs w:val="18"/>
          <w:color w:val="auto"/>
        </w:rPr>
      </w:pPr>
    </w:p>
    <w:p>
      <w:pPr>
        <w:ind w:left="500" w:right="260" w:hanging="492"/>
        <w:spacing w:after="0" w:line="281"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Payroll and personnel expenses includes salaries, benefits and stock-based compensation for our personnel involved in research and development activities. These expenses are separately classified and not allocated to specific programs because these expenses relate to multiple programs.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research and development expenses includes direct costs related to research and development activities other than those listed above.</w:t>
      </w:r>
    </w:p>
    <w:p>
      <w:pPr>
        <w:spacing w:after="0" w:line="11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ABC Platform external expenses remained relatively constant during the three months ended March 31, 2020, as compared to 2019. These expenses were primarily driven by manufacturing runs to support our product candidate pipeline.</w:t>
      </w:r>
    </w:p>
    <w:p>
      <w:pPr>
        <w:spacing w:after="0" w:line="62" w:lineRule="exact"/>
        <w:rPr>
          <w:sz w:val="20"/>
          <w:szCs w:val="20"/>
          <w:color w:val="auto"/>
        </w:rPr>
      </w:pPr>
    </w:p>
    <w:p>
      <w:pPr>
        <w:ind w:right="60" w:firstLine="510"/>
        <w:spacing w:after="0" w:line="279" w:lineRule="auto"/>
        <w:rPr>
          <w:sz w:val="20"/>
          <w:szCs w:val="20"/>
          <w:color w:val="auto"/>
        </w:rPr>
      </w:pPr>
      <w:r>
        <w:rPr>
          <w:rFonts w:ascii="Arial" w:cs="Arial" w:eastAsia="Arial" w:hAnsi="Arial"/>
          <w:sz w:val="18"/>
          <w:szCs w:val="18"/>
          <w:color w:val="auto"/>
        </w:rPr>
        <w:t>KSI-301 program external expenses increased $10.5 million during the three months ended March 31, 2020, as compared to 2019. The increase was primarily due to clinical trial costs as well as manufacturing runs for KSI-301. Our pivotal DAZZLE clinical study dosed the first patient in October 2019 and over 200 patients were enrolled as of March 31, 2020.</w:t>
      </w:r>
    </w:p>
    <w:p>
      <w:pPr>
        <w:spacing w:after="0" w:line="6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KSI-501 program external expenses decreased $0.3 million during the three months ended March 31, 2020, as compared to 2019, due to timing of manufacturing activities from ongoing research and development of KSI-501.</w:t>
      </w:r>
    </w:p>
    <w:p>
      <w:pPr>
        <w:spacing w:after="0" w:line="62"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Payroll and personnel expenses increased $3.4 million during the three months ended March 31, 2020, as compared to 2019, due to increased headcount and stock-based compensation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460" w:firstLine="510"/>
        <w:spacing w:after="0" w:line="277" w:lineRule="auto"/>
        <w:rPr>
          <w:sz w:val="20"/>
          <w:szCs w:val="20"/>
          <w:color w:val="auto"/>
        </w:rPr>
      </w:pPr>
      <w:r>
        <w:rPr>
          <w:rFonts w:ascii="Arial" w:cs="Arial" w:eastAsia="Arial" w:hAnsi="Arial"/>
          <w:sz w:val="18"/>
          <w:szCs w:val="18"/>
          <w:color w:val="auto"/>
        </w:rPr>
        <w:t>Other research and development expenses increased $0.7 million during the three months ended March 31, 2020, as compared to 2019, due to increased costs on our early research pipeline.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General and administrative expenses increased $2.8 million during the three months ended March 31, 2020 as compared to 2019. The increase in general and administrative expenses was primarily attributable to an increase of $0.4 million in professional services related to accounting, audit, legal and consulting services and costs associated with operating as a public company, and an increase of $2.3 million in salaries, including stock-based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Interest income increased $0.7 million during the three months ended March 31, 2020 as compared to 2019, which was mainly attributable to interest income earned on increased balances of cash, cash equivalents and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Other income (expense), net increased $0.1 million during the three months ended March 31, 2020 as compared to 2019, which was mainly attributable to accretion income on marketable debt securities offset by amortized issuance costs from the liability related to the future sale of royalties to BBA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We have funded our operations primarily through the sale of equity securities. In addition, we entered into a royalty funding agreement and received an initial payment of $100.0 million in February 2020. As of March 31, 2020, we had cash, cash equivalents and marketable securities of $430.4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We have incurred net losses since our inception. For the three months ended March 31, 2020, we had net loss of $24.4 million, and we expect to continue to incur additional losses in future periods. As of March 31, 2020, we had an accumulated deficit of $182.5 million.</w:t>
      </w:r>
    </w:p>
    <w:p>
      <w:pPr>
        <w:spacing w:after="0" w:line="3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79"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continue incurring additional costs associated with operating as a public company.</w:t>
      </w:r>
    </w:p>
    <w:p>
      <w:pPr>
        <w:spacing w:after="0" w:line="8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We have based these estimates on assumptions that may prove to be wrong, and we could deplete our capital resources sooner than we expect. The timing and amount of our operating expenditures and capital requirements will depend on many factors, including:</w:t>
      </w:r>
    </w:p>
    <w:p>
      <w:pPr>
        <w:spacing w:after="0" w:line="62" w:lineRule="exact"/>
        <w:rPr>
          <w:sz w:val="20"/>
          <w:szCs w:val="20"/>
          <w:color w:val="auto"/>
        </w:rPr>
      </w:pPr>
    </w:p>
    <w:p>
      <w:pPr>
        <w:ind w:left="620" w:right="140" w:hanging="113"/>
        <w:spacing w:after="0" w:line="277"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17" w:lineRule="exact"/>
        <w:rPr>
          <w:rFonts w:ascii="Arial" w:cs="Arial" w:eastAsia="Arial" w:hAnsi="Arial"/>
          <w:sz w:val="18"/>
          <w:szCs w:val="18"/>
          <w:color w:val="auto"/>
        </w:rPr>
      </w:pPr>
    </w:p>
    <w:p>
      <w:pPr>
        <w:ind w:left="620" w:right="660" w:hanging="113"/>
        <w:spacing w:after="0" w:line="277"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3" w:name="page24"/>
    <w:bookmarkEnd w:id="23"/>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7" w:lineRule="exact"/>
        <w:rPr>
          <w:rFonts w:ascii="Arial" w:cs="Arial" w:eastAsia="Arial" w:hAnsi="Arial"/>
          <w:sz w:val="18"/>
          <w:szCs w:val="18"/>
          <w:color w:val="auto"/>
        </w:rPr>
      </w:pPr>
    </w:p>
    <w:p>
      <w:pPr>
        <w:ind w:left="620" w:right="700" w:hanging="113"/>
        <w:spacing w:after="0" w:line="277"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5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significant uncertainties caused by the COVID-19 global pandemic may also negatively impact our operations and capital resources. We continue to monitor the impact of COVID-19 on our ability to continue the development of, and seek regulatory approvals for, our product candidates, and begin to commercialize any approved products. This pandemic may ultimately have a material adverse effect on our liquidity and operating plans, although we are unable to make any prediction with certainty given the spread and rapidly changing nature of the pandemic and the evolving global actions taken to contain and treat the novel coronavirus.</w:t>
      </w:r>
    </w:p>
    <w:p>
      <w:pPr>
        <w:spacing w:after="0" w:line="80"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0" w:type="dxa"/>
            <w:vAlign w:val="bottom"/>
            <w:gridSpan w:val="5"/>
          </w:tcPr>
          <w:p>
            <w:pPr>
              <w:jc w:val="center"/>
              <w:ind w:left="496"/>
              <w:spacing w:after="0"/>
              <w:rPr>
                <w:sz w:val="20"/>
                <w:szCs w:val="20"/>
                <w:color w:val="auto"/>
              </w:rPr>
            </w:pPr>
            <w:r>
              <w:rPr>
                <w:rFonts w:ascii="Arial" w:cs="Arial" w:eastAsia="Arial" w:hAnsi="Arial"/>
                <w:sz w:val="18"/>
                <w:szCs w:val="18"/>
                <w:b w:val="1"/>
                <w:bCs w:val="1"/>
                <w:color w:val="auto"/>
                <w:w w:val="90"/>
              </w:rPr>
              <w:t>Three Months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right="307"/>
              <w:spacing w:after="0"/>
              <w:rPr>
                <w:sz w:val="20"/>
                <w:szCs w:val="20"/>
                <w:color w:val="auto"/>
              </w:rPr>
            </w:pPr>
            <w:r>
              <w:rPr>
                <w:rFonts w:ascii="Arial" w:cs="Arial" w:eastAsia="Arial" w:hAnsi="Arial"/>
                <w:sz w:val="18"/>
                <w:szCs w:val="18"/>
                <w:b w:val="1"/>
                <w:bCs w:val="1"/>
                <w:color w:val="auto"/>
                <w:w w:val="93"/>
              </w:rPr>
              <w:t>March 31,</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40" w:type="dxa"/>
            <w:vAlign w:val="bottom"/>
            <w:gridSpan w:val="4"/>
          </w:tcPr>
          <w:p>
            <w:pPr>
              <w:jc w:val="center"/>
              <w:ind w:right="307"/>
              <w:spacing w:after="0"/>
              <w:rPr>
                <w:sz w:val="20"/>
                <w:szCs w:val="20"/>
                <w:color w:val="auto"/>
              </w:rPr>
            </w:pPr>
            <w:r>
              <w:rPr>
                <w:rFonts w:ascii="Arial" w:cs="Arial" w:eastAsia="Arial" w:hAnsi="Arial"/>
                <w:sz w:val="18"/>
                <w:szCs w:val="18"/>
                <w:b w:val="1"/>
                <w:bCs w:val="1"/>
                <w:color w:val="auto"/>
                <w:w w:val="88"/>
              </w:rPr>
              <w:t>(in thousands)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Operating activities</w:t>
            </w:r>
          </w:p>
        </w:tc>
        <w:tc>
          <w:tcPr>
            <w:tcW w:w="238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(17,932)</w:t>
            </w: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(7,207)</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2"/>
              </w:rPr>
              <w:t>(67,197)</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(23,872)</w:t>
            </w:r>
          </w:p>
        </w:tc>
      </w:tr>
      <w:tr>
        <w:trPr>
          <w:trHeight w:val="229"/>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4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99,788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(31,032)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2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$10.7 million increase in cash used in operating activities for the three months ended March 31, 2020 as compared to 2019 was primarily driven by the increase in net loss during this period due to increased payroll and personnel expenses and manufacturing and clinical trial costs to support overall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2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$43.3 million increase in cash used in investing activities for the three months ended March 31, 2020 as compared to 2019 was driven by the net purchase of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$99.7 million increase in cash provided by financing activities for the three months ended March 31, 2020 as compared to 2019 was due to the proceeds from sale of future royalties to BBA.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disclosure of our contractual obligations and commitments is set forth under the heading “Management’s Discussion and Analysis of Financial Condition and Results of Operations — Contractual Obligations” in our Annual Report on Form 10-K for the year ended December 31, 2019. There have been no material changes in our contractual obligations and commitments since December 31, 2019, except as otherwise described in Note 6 to our unaudited condensed consolidated financial statements included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8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During the three months ended March 31, 2020, there were no material changes to our critical accounting policies as reported in our Annual Report on Form 10-K for the year ended December 31, 2019, which was filed with the SEC on March 16, 2020, except as otherwise described in Note 2 to our unaudited condensed consolidated financial statements included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Jumpstart Our Business Startups Act of 2012, or JOBS Act permits an “emerging growth company” such as us to take advantage of an extended transition period to comply with new or revised accounting standards applicable to public companies until such pronouncements are made applicable to private companies, unless we otherwise irrevocably elect not to avail ourselves of this exemption. However, we have chosen to irrevocably “opt out”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unaudited condensed consolidated financial statements included in this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During the three months ended March 31, 2020, there were no material changes to our market risk disclosures as reported in our Annual Report on Form 10-K for the year ended December 31, 2019, which was filed with the SEC on March 16,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1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49" w:lineRule="exact"/>
        <w:rPr>
          <w:sz w:val="20"/>
          <w:szCs w:val="20"/>
          <w:color w:val="auto"/>
        </w:rPr>
      </w:pPr>
    </w:p>
    <w:p>
      <w:pPr>
        <w:jc w:val="both"/>
        <w:ind w:right="200" w:firstLine="510"/>
        <w:spacing w:after="0" w:line="259"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Based upon such evaluation, management concluded that the design and operation of our disclosure controls and procedures were effective at a reasonable assurance level as of March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2020, that has materially affected, or is reasonably likely to materially affect, our internal control over financial reporting. In response to the COVID-19 global pandemic, remote working arrangements have been implemented for non-essential employees since March 17, 2020. Management has taken measures to ensure that the internal control over financial reporting remain materially unchanged during this period and will continually monitor and assess internal controls to minimize impact on their design and operating effectiveness.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we may make from time to time. You should consider all of the risk factors described when evaluating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in the early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We are a clinical stage biopharmaceutical company specializing in novel therapeutics to treat chronic, high-prevalence retinal diseases. We commenced operations in June 2009, have no products approved for commercial sale and have not generated any revenue. Drug development is a highly uncertain undertaking and involves a substantial degree of risk. Except for KSI-301,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6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have incurred net losses in each reporting period since our inception, including net loss of $24.4 million for the three months ended March 31, 2020, respectively. As of March 31, 2020, we had an accumulated deficit of $182.5 million.</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63"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2" w:lineRule="exact"/>
        <w:rPr>
          <w:sz w:val="20"/>
          <w:szCs w:val="20"/>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17" w:lineRule="exact"/>
        <w:rPr>
          <w:rFonts w:ascii="Arial" w:cs="Arial" w:eastAsia="Arial" w:hAnsi="Arial"/>
          <w:sz w:val="18"/>
          <w:szCs w:val="18"/>
          <w:color w:val="auto"/>
        </w:rPr>
      </w:pPr>
    </w:p>
    <w:p>
      <w:pPr>
        <w:ind w:left="620" w:right="140" w:hanging="113"/>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the development of our ABC Platform;</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620" w:hanging="11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17" w:lineRule="exact"/>
        <w:rPr>
          <w:rFonts w:ascii="Arial" w:cs="Arial" w:eastAsia="Arial" w:hAnsi="Arial"/>
          <w:sz w:val="18"/>
          <w:szCs w:val="18"/>
          <w:color w:val="auto"/>
        </w:rPr>
      </w:pPr>
    </w:p>
    <w:p>
      <w:pPr>
        <w:ind w:left="620" w:right="40" w:hanging="113"/>
        <w:spacing w:after="0" w:line="277"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62" w:lineRule="exact"/>
        <w:rPr>
          <w:rFonts w:ascii="Arial" w:cs="Arial" w:eastAsia="Arial" w:hAnsi="Arial"/>
          <w:sz w:val="18"/>
          <w:szCs w:val="18"/>
          <w:color w:val="auto"/>
        </w:rPr>
      </w:pPr>
    </w:p>
    <w:p>
      <w:pPr>
        <w:jc w:val="both"/>
        <w:ind w:left="620" w:right="280" w:hanging="113"/>
        <w:spacing w:after="0" w:line="263"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75" w:lineRule="exact"/>
        <w:rPr>
          <w:rFonts w:ascii="Arial" w:cs="Arial" w:eastAsia="Arial" w:hAnsi="Arial"/>
          <w:sz w:val="18"/>
          <w:szCs w:val="18"/>
          <w:color w:val="auto"/>
        </w:rPr>
      </w:pPr>
    </w:p>
    <w:p>
      <w:pPr>
        <w:ind w:left="620" w:hanging="11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620" w:right="200" w:hanging="113"/>
        <w:spacing w:after="0" w:line="277"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2" w:lineRule="exact"/>
        <w:rPr>
          <w:rFonts w:ascii="Arial" w:cs="Arial" w:eastAsia="Arial" w:hAnsi="Arial"/>
          <w:sz w:val="18"/>
          <w:szCs w:val="18"/>
          <w:color w:val="auto"/>
        </w:rPr>
      </w:pPr>
    </w:p>
    <w:p>
      <w:pPr>
        <w:ind w:left="620" w:right="80" w:hanging="113"/>
        <w:spacing w:after="0" w:line="277"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 and</w:t>
      </w:r>
    </w:p>
    <w:p>
      <w:pPr>
        <w:spacing w:after="0" w:line="140" w:lineRule="exact"/>
        <w:rPr>
          <w:rFonts w:ascii="Arial" w:cs="Arial" w:eastAsia="Arial" w:hAnsi="Arial"/>
          <w:sz w:val="16"/>
          <w:szCs w:val="16"/>
          <w:color w:val="auto"/>
        </w:rPr>
      </w:pPr>
    </w:p>
    <w:p>
      <w:pPr>
        <w:ind w:left="620" w:hanging="11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28" w:name="page29"/>
    <w:bookmarkEnd w:id="28"/>
    <w:p>
      <w:pPr>
        <w:ind w:firstLine="510"/>
        <w:spacing w:after="0" w:line="254"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4"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obtain additional financing, we may be unable to complete the development and, if approved, commercialization of our product candidates.</w:t>
      </w:r>
    </w:p>
    <w:p>
      <w:pPr>
        <w:spacing w:after="0" w:line="15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Our operations have required substantial amounts of cash since inception. To date, we have funded our operations primarily through the sale of equity securities. Developing our product candidates is expensive, and we expect to substantially increase our spending as we advance KSI-301 into Phase 3 clinical trials. Even if we are successful in developing our product candidates, obtaining regulatory approvals and launching and commercializing any product candidate will require substantial additional funding.</w:t>
      </w:r>
    </w:p>
    <w:p>
      <w:pPr>
        <w:spacing w:after="0" w:line="79"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As of March 31, 2020, we had cash, cash equivalents and marketable securities of $430.4 million. 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53"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will require additional capital for the further development and, if approved, commercialization of our product candidates. Additional capital may not be available when we need it, on terms acceptable to us or at all. For example, the recent outbreak of COVID-19 has significantly disrupted world financial markets, negatively impacted US market conditions, increased the volatility of trading prices for biopharmaceutical companies, and may reduce opportunities for us to seek out additional funding when needed.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7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KSI-301, which is in the early stages of clinical development and is the only product candidate that we expect to be in clinical development in the near term.</w:t>
      </w:r>
    </w:p>
    <w:p>
      <w:pPr>
        <w:spacing w:after="0" w:line="62"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KSI-301 is our only product candidate that we expect to be in clinical studies in the near term. It may be years before DAZZLE and/or any other registrational type trial is completed, if at all. Further, we cannot be certain that either KSI-301 or any of our product candidates will be successful in clinical trials.</w:t>
      </w:r>
    </w:p>
    <w:p>
      <w:pPr>
        <w:spacing w:after="0" w:line="76"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Our early encouraging preclinical and Phase 1 clinical trial results for KSI-301 are not necessarily predictive of the results of our ongoing or future discovery programs or clinical studies including later-stage preclinical studies or in humans during clinical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adverse events.</w:t>
      </w:r>
    </w:p>
    <w:p>
      <w:pPr>
        <w:spacing w:after="0" w:line="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w:t>
      </w:r>
    </w:p>
    <w:p>
      <w:pPr>
        <w:spacing w:after="0" w:line="80"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While we have certain preclinical programs in development and intend to develop other product candidates, it will take additional investment and time for such programs to reach the same stage of development as KSI-301.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KSI-301 in clinical development may require us to discontinue development of other product candidates based on our ABC Platform.</w:t>
      </w:r>
    </w:p>
    <w:p>
      <w:pPr>
        <w:spacing w:after="0" w:line="140" w:lineRule="exact"/>
        <w:rPr>
          <w:sz w:val="20"/>
          <w:szCs w:val="20"/>
          <w:color w:val="auto"/>
        </w:rPr>
      </w:pPr>
    </w:p>
    <w:p>
      <w:pPr>
        <w:jc w:val="both"/>
        <w:ind w:right="280" w:firstLine="510"/>
        <w:spacing w:after="0" w:line="311" w:lineRule="auto"/>
        <w:rPr>
          <w:sz w:val="20"/>
          <w:szCs w:val="20"/>
          <w:color w:val="auto"/>
        </w:rPr>
      </w:pPr>
      <w:r>
        <w:rPr>
          <w:rFonts w:ascii="Arial" w:cs="Arial" w:eastAsia="Arial" w:hAnsi="Arial"/>
          <w:sz w:val="16"/>
          <w:szCs w:val="16"/>
          <w:color w:val="auto"/>
        </w:rPr>
        <w:t>If KSI-301 fails in development as a result of any underlying problem with our platform, then we may discontinue development of some or all of our product candidates that are based on our ABC Platform. If we discontinue development of KSI-301, or if KSI-301 were to fail to receive regulatory approval or were to fail to achieve sufficient market acceptance, we could be prevented from or significantly delayed in achieving profitability.</w:t>
      </w:r>
    </w:p>
    <w:p>
      <w:pPr>
        <w:spacing w:after="0" w:line="14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38"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6" w:lineRule="exact"/>
        <w:rPr>
          <w:sz w:val="20"/>
          <w:szCs w:val="20"/>
          <w:color w:val="auto"/>
        </w:rPr>
      </w:pPr>
    </w:p>
    <w:p>
      <w:pPr>
        <w:ind w:left="620" w:hanging="11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17" w:lineRule="exact"/>
        <w:rPr>
          <w:rFonts w:ascii="Arial" w:cs="Arial" w:eastAsia="Arial" w:hAnsi="Arial"/>
          <w:sz w:val="18"/>
          <w:szCs w:val="18"/>
          <w:color w:val="auto"/>
        </w:rPr>
      </w:pPr>
    </w:p>
    <w:p>
      <w:pPr>
        <w:ind w:left="620" w:right="60" w:hanging="113"/>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117" w:lineRule="exact"/>
        <w:rPr>
          <w:rFonts w:ascii="Arial" w:cs="Arial" w:eastAsia="Arial" w:hAnsi="Arial"/>
          <w:sz w:val="18"/>
          <w:szCs w:val="18"/>
          <w:color w:val="auto"/>
        </w:rPr>
      </w:pPr>
    </w:p>
    <w:p>
      <w:pPr>
        <w:ind w:left="620" w:right="280" w:hanging="113"/>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62" w:lineRule="exact"/>
        <w:rPr>
          <w:rFonts w:ascii="Arial" w:cs="Arial" w:eastAsia="Arial" w:hAnsi="Arial"/>
          <w:sz w:val="18"/>
          <w:szCs w:val="18"/>
          <w:color w:val="auto"/>
        </w:rPr>
      </w:pPr>
    </w:p>
    <w:p>
      <w:pPr>
        <w:ind w:left="620" w:right="980" w:hanging="113"/>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rFonts w:ascii="Arial" w:cs="Arial" w:eastAsia="Arial" w:hAnsi="Arial"/>
          <w:sz w:val="18"/>
          <w:szCs w:val="18"/>
          <w:color w:val="auto"/>
        </w:rPr>
      </w:pPr>
    </w:p>
    <w:p>
      <w:pPr>
        <w:ind w:left="620" w:right="340" w:hanging="113"/>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ind w:right="240" w:firstLine="510"/>
        <w:spacing w:after="0" w:line="279" w:lineRule="auto"/>
        <w:rPr>
          <w:sz w:val="20"/>
          <w:szCs w:val="20"/>
          <w:color w:val="auto"/>
        </w:rPr>
      </w:pPr>
      <w:r>
        <w:rPr>
          <w:rFonts w:ascii="Arial" w:cs="Arial" w:eastAsia="Arial" w:hAnsi="Arial"/>
          <w:sz w:val="17"/>
          <w:szCs w:val="17"/>
          <w:color w:val="auto"/>
        </w:rPr>
        <w:t>If any of these events occur,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an early stage of development, there is a relatively higher risk of failure and we may never succeed in developing marketable products or generating product revenue.</w:t>
      </w:r>
    </w:p>
    <w:p>
      <w:pPr>
        <w:spacing w:after="0" w:line="63"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may not be successful in our efforts to further develop our ABC Platform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73"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7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8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the China Drug Authority, or CDA,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84" w:lineRule="exact"/>
        <w:rPr>
          <w:sz w:val="20"/>
          <w:szCs w:val="20"/>
          <w:color w:val="auto"/>
        </w:rPr>
      </w:pPr>
    </w:p>
    <w:p>
      <w:pPr>
        <w:ind w:left="620" w:hanging="11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128" w:lineRule="exact"/>
        <w:rPr>
          <w:rFonts w:ascii="Arial" w:cs="Arial" w:eastAsia="Arial" w:hAnsi="Arial"/>
          <w:sz w:val="17"/>
          <w:szCs w:val="17"/>
          <w:color w:val="auto"/>
        </w:rPr>
      </w:pPr>
    </w:p>
    <w:p>
      <w:pPr>
        <w:ind w:left="620" w:right="60" w:hanging="113"/>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in the case of China, the registration category for the drug candidate to be studied in the clinical trial;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determination by the reviewing regulatory authority to require more costly or lengthy clinical trials than we currently anticipate;</w:t>
      </w:r>
    </w:p>
    <w:p>
      <w:pPr>
        <w:spacing w:after="0" w:line="117" w:lineRule="exact"/>
        <w:rPr>
          <w:rFonts w:ascii="Arial" w:cs="Arial" w:eastAsia="Arial" w:hAnsi="Arial"/>
          <w:sz w:val="18"/>
          <w:szCs w:val="18"/>
          <w:color w:val="auto"/>
        </w:rPr>
      </w:pPr>
    </w:p>
    <w:p>
      <w:pPr>
        <w:ind w:left="620" w:right="240" w:hanging="113"/>
        <w:spacing w:after="0" w:line="308"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clinical research organizations, or CROs, and clinical trial sites, the terms of which can be subject to extensive negotiation and may vary significantly among different CROs and clinical trial sites;</w:t>
      </w:r>
    </w:p>
    <w:p>
      <w:pPr>
        <w:spacing w:after="0" w:line="38" w:lineRule="exact"/>
        <w:rPr>
          <w:rFonts w:ascii="Arial" w:cs="Arial" w:eastAsia="Arial" w:hAnsi="Arial"/>
          <w:sz w:val="17"/>
          <w:szCs w:val="17"/>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117" w:lineRule="exact"/>
        <w:rPr>
          <w:rFonts w:ascii="Arial" w:cs="Arial" w:eastAsia="Arial" w:hAnsi="Arial"/>
          <w:sz w:val="18"/>
          <w:szCs w:val="18"/>
          <w:color w:val="auto"/>
        </w:rPr>
      </w:pPr>
    </w:p>
    <w:p>
      <w:pPr>
        <w:ind w:left="620" w:right="40" w:hanging="113"/>
        <w:spacing w:after="0" w:line="255"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CDA or any other regulatory authority concerns about risk to patients of the technology broadly; or if the FDA, EMA, CDA or any other regulatory authority finds that the investigational protocol or plan is clearly deficient to meet its stated objectives;</w:t>
      </w:r>
    </w:p>
    <w:p>
      <w:pPr>
        <w:spacing w:after="0" w:line="84" w:lineRule="exact"/>
        <w:rPr>
          <w:rFonts w:ascii="Arial" w:cs="Arial" w:eastAsia="Arial" w:hAnsi="Arial"/>
          <w:sz w:val="18"/>
          <w:szCs w:val="18"/>
          <w:color w:val="auto"/>
        </w:rPr>
      </w:pPr>
    </w:p>
    <w:p>
      <w:pPr>
        <w:ind w:left="620" w:right="100" w:hanging="113"/>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117" w:lineRule="exact"/>
        <w:rPr>
          <w:rFonts w:ascii="Arial" w:cs="Arial" w:eastAsia="Arial" w:hAnsi="Arial"/>
          <w:sz w:val="18"/>
          <w:szCs w:val="18"/>
          <w:color w:val="auto"/>
        </w:rPr>
      </w:pPr>
    </w:p>
    <w:p>
      <w:pPr>
        <w:ind w:left="620" w:right="360" w:hanging="113"/>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current good clinical practices, or cGCPs, requirements, or applicable EMA, CDA or other regulatory guidelines in other countries;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620" w:right="80" w:hanging="113"/>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2" w:lineRule="exact"/>
        <w:rPr>
          <w:rFonts w:ascii="Arial" w:cs="Arial" w:eastAsia="Arial" w:hAnsi="Arial"/>
          <w:sz w:val="18"/>
          <w:szCs w:val="18"/>
          <w:color w:val="auto"/>
        </w:rPr>
      </w:pPr>
    </w:p>
    <w:p>
      <w:pPr>
        <w:ind w:left="620" w:right="320" w:hanging="113"/>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CMOs or by us, and delays or failure by our CMOs or us to make any necessary changes to such manufacturing process; and</w:t>
      </w:r>
    </w:p>
    <w:p>
      <w:pPr>
        <w:spacing w:after="0" w:line="62" w:lineRule="exact"/>
        <w:rPr>
          <w:rFonts w:ascii="Arial" w:cs="Arial" w:eastAsia="Arial" w:hAnsi="Arial"/>
          <w:sz w:val="18"/>
          <w:szCs w:val="18"/>
          <w:color w:val="auto"/>
        </w:rPr>
      </w:pPr>
    </w:p>
    <w:p>
      <w:pPr>
        <w:ind w:left="620" w:right="460" w:hanging="113"/>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0"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for such trial or by the FDA, EMA, CDA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CDA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right="14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2"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CDA or other comparable foreign regulatory authorities.</w:t>
      </w:r>
    </w:p>
    <w:p>
      <w:pPr>
        <w:spacing w:after="0" w:line="76"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w:t>
      </w:r>
    </w:p>
    <w:p>
      <w:pPr>
        <w:spacing w:after="0" w:line="73"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most advanced product candidate, KSI-301, is an anti-VEGF biologic that we intend to study in wet AMD, DME/DR and RVO.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w:t>
      </w:r>
    </w:p>
    <w:p>
      <w:pPr>
        <w:spacing w:after="0" w:line="73"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69"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6" w:lineRule="exact"/>
        <w:rPr>
          <w:sz w:val="20"/>
          <w:szCs w:val="20"/>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7" w:lineRule="exact"/>
        <w:rPr>
          <w:rFonts w:ascii="Arial" w:cs="Arial" w:eastAsia="Arial" w:hAnsi="Arial"/>
          <w:sz w:val="18"/>
          <w:szCs w:val="18"/>
          <w:color w:val="auto"/>
        </w:rPr>
      </w:pPr>
    </w:p>
    <w:p>
      <w:pPr>
        <w:ind w:left="620" w:right="220" w:hanging="113"/>
        <w:spacing w:after="0" w:line="308"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38" w:lineRule="exact"/>
        <w:rPr>
          <w:rFonts w:ascii="Arial" w:cs="Arial" w:eastAsia="Arial" w:hAnsi="Arial"/>
          <w:sz w:val="17"/>
          <w:szCs w:val="17"/>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380"/>
        <w:spacing w:after="0" w:line="277"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2"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76" w:lineRule="exact"/>
        <w:rPr>
          <w:sz w:val="20"/>
          <w:szCs w:val="20"/>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620" w:right="100" w:hanging="113"/>
        <w:spacing w:after="0" w:line="263"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75"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health epidemics, including the recent COVID-19 outbreak and the resulting shelter-in-place or similar restrictions;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17" w:lineRule="exact"/>
        <w:rPr>
          <w:rFonts w:ascii="Arial" w:cs="Arial" w:eastAsia="Arial" w:hAnsi="Arial"/>
          <w:sz w:val="18"/>
          <w:szCs w:val="18"/>
          <w:color w:val="auto"/>
        </w:rPr>
      </w:pPr>
    </w:p>
    <w:p>
      <w:pPr>
        <w:ind w:left="620" w:right="520" w:hanging="113"/>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and Eylea are established products with accepted safety profiles.</w:t>
      </w:r>
    </w:p>
    <w:p>
      <w:pPr>
        <w:spacing w:after="0" w:line="53"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74"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right="120" w:firstLine="510"/>
        <w:spacing w:after="0" w:line="255"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19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38"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0"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There are a number of large pharmaceutical and biotechnology companies that are currently pursuing the development of products for the treatment of the retinal disease indications for which we have product candidates, including wet AMD and DME/DR. Certain of our competitors have commercially approved products for the treatment of retinal diseases that we are pursuing or may pursue in the future, including Roche, Regeneron and Novartis for the treatment of wet AMD and DME/DR. These drugs are well established therapies and are widely accepted by physicians, patients and third-party payors, which may make it difficult to convince these parties to switch to KSI-301. Companies that we are aware are developing therapeutics in the retinal disease area include large companies with significant financial resources, such as Roche, Novartis, Bayer and Regeneron, Allergan, Mylan, Momenta and Samsung Bioepis. In addition to competition from other companies targeting retinal indications, any products we may develop may also face competition from other types of therapies, such as gene-editing therapies and drug delivery devices.</w:t>
      </w:r>
    </w:p>
    <w:p>
      <w:pPr>
        <w:spacing w:after="0" w:line="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CDA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7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w:t>
      </w:r>
    </w:p>
    <w:p>
      <w:pPr>
        <w:spacing w:after="0" w:line="68"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63"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73"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63"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These challenges are magnified by the international nature of our supply chain, which, for KSI-301, requires drug substance and drug product sourced from single source suppliers from China, Japan, the United Kingdom, and Switzerland.</w:t>
      </w:r>
    </w:p>
    <w:p>
      <w:pPr>
        <w:spacing w:after="0" w:line="170"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2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the manufacturing process for any products that we may develop is subject to FDA, EMA, CDA and foreign regulatory authority approval processes and continuous oversight. We will need to contract with manufacturers who can meet all applicable FDA, EMA, CDA and foreign regulatory authority requirements, including complying with current good manufacturing practices, or cGMPs, on an ongoing basis. If we or our third-party manufacturers are unable to reliably produce products to specifications acceptable to the FDA, EMA, CDA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CDA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right="160"/>
        <w:spacing w:after="0" w:line="34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49"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17" w:lineRule="exact"/>
        <w:rPr>
          <w:sz w:val="20"/>
          <w:szCs w:val="20"/>
          <w:color w:val="auto"/>
        </w:rPr>
      </w:pPr>
    </w:p>
    <w:p>
      <w:pPr>
        <w:ind w:left="620" w:right="460" w:hanging="113"/>
        <w:spacing w:after="0" w:line="277"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620" w:right="140" w:hanging="113"/>
        <w:spacing w:after="0" w:line="277"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approved products;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620" w:right="180" w:hanging="113"/>
        <w:spacing w:after="0" w:line="277"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7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3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3" w:lineRule="exact"/>
        <w:rPr>
          <w:sz w:val="20"/>
          <w:szCs w:val="20"/>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CDA or other regulatory agencies;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left="620" w:right="660" w:hanging="113"/>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CDA or other comparable foreign regulatory authorities, including any limitations, contraindications or warnings contained in a product’s approved labeling;</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7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CDA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right="60"/>
        <w:spacing w:after="0" w:line="277"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from biological products that are biosimilar to or interchangeable with our product candidates sooner than anticipated.</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EMA, CDA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6"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time required to obtain approval by the FDA, EMA, CDA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620" w:hanging="113"/>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FDA, EMA, CDA or comparable foreign regulatory authorities may disagree with the design, implementation or results of our clinical trials;</w:t>
      </w:r>
    </w:p>
    <w:p>
      <w:pPr>
        <w:spacing w:after="0" w:line="140" w:lineRule="exact"/>
        <w:rPr>
          <w:rFonts w:ascii="Arial" w:cs="Arial" w:eastAsia="Arial" w:hAnsi="Arial"/>
          <w:sz w:val="16"/>
          <w:szCs w:val="16"/>
          <w:color w:val="auto"/>
        </w:rPr>
      </w:pPr>
    </w:p>
    <w:p>
      <w:pPr>
        <w:ind w:left="620" w:right="400" w:hanging="113"/>
        <w:spacing w:after="0" w:line="263"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CDA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75"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demonstrate to the FDA, EMA, CDA or comparable foreign regulatory authorities that a product candidate’s risk-benefit ratio for its proposed indication, when compared to the standard of care, is acceptable;</w:t>
      </w:r>
    </w:p>
    <w:p>
      <w:pPr>
        <w:spacing w:after="0" w:line="62" w:lineRule="exact"/>
        <w:rPr>
          <w:rFonts w:ascii="Arial" w:cs="Arial" w:eastAsia="Arial" w:hAnsi="Arial"/>
          <w:sz w:val="18"/>
          <w:szCs w:val="18"/>
          <w:color w:val="auto"/>
        </w:rPr>
      </w:pPr>
    </w:p>
    <w:p>
      <w:pPr>
        <w:ind w:left="620" w:right="60" w:hanging="113"/>
        <w:spacing w:after="0" w:line="277"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CDA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620" w:right="720" w:hanging="113"/>
        <w:spacing w:after="0" w:line="277"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62" w:lineRule="exact"/>
        <w:rPr>
          <w:rFonts w:ascii="Arial" w:cs="Arial" w:eastAsia="Arial" w:hAnsi="Arial"/>
          <w:sz w:val="18"/>
          <w:szCs w:val="18"/>
          <w:color w:val="auto"/>
        </w:rPr>
      </w:pPr>
    </w:p>
    <w:p>
      <w:pPr>
        <w:ind w:left="620" w:right="760" w:hanging="113"/>
        <w:spacing w:after="0" w:line="342"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FDA, EMA, CDA or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620" w:right="240" w:hanging="113"/>
        <w:spacing w:after="0" w:line="277"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CDA or comparable foreign regulatory authorities may significantly change in a manner rendering our clinical data insufficient for approval.</w:t>
      </w:r>
    </w:p>
    <w:p>
      <w:pPr>
        <w:spacing w:after="0" w:line="6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plan to conduct clinical trials for our product candidates outside the United States, and the FDA, EMA, CDA and applicable foreign regulatory authorities may not accept data from such trials.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plan to conduct one or more of our clinical trials outside the United States, including Europe, China and other foreign countries. The acceptance of study data from clinical trials conducted outside the United States or another jurisdiction by the FDA, EMA, CDA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CDA or any applicable foreign regulatory authority will accept data from trials conducted outside of the United States or the applicable jurisdiction, including any trials that we may conduct in China. If the FDA, EMA, CDA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0" w:name="page41"/>
    <w:bookmarkEnd w:id="40"/>
    <w:p>
      <w:pPr>
        <w:ind w:right="34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CDA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6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17" w:lineRule="exact"/>
        <w:rPr>
          <w:sz w:val="20"/>
          <w:szCs w:val="20"/>
          <w:color w:val="auto"/>
        </w:rPr>
      </w:pPr>
    </w:p>
    <w:p>
      <w:pPr>
        <w:jc w:val="both"/>
        <w:ind w:right="400" w:firstLine="510"/>
        <w:spacing w:after="0" w:line="31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41"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CDA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or MAA. Accordingly, we and others with whom we work must continue to expend time, money and effort in all areas of regulatory compliance, including manufacturing, production and quality control.</w:t>
      </w:r>
    </w:p>
    <w:p>
      <w:pPr>
        <w:spacing w:after="0" w:line="6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EMA, CDA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63"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620" w:hanging="11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left="620" w:hanging="113"/>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40"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Affordable Care Act, or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5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Since the ACA’s enactment, there have been, and continue to be, numerous challenges to the ACA. Since January 2017, President Trump has signed two Executive Orders and other directives designed to delay the implementation of certain provisions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Further, the 2020 federal spending package permanently eliminated, effective January 1, 2020, the ACA-mandated “Cadillac” tax on high-cost employer-sponsored health coverage and medical device tax and, effective January 1, 2021, also eliminates the health insurer tax. In addition,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ruled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 and our business.</w:t>
      </w:r>
    </w:p>
    <w:p>
      <w:pPr>
        <w:spacing w:after="0" w:line="60"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will remain in effect through 2029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84"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620" w:hanging="113"/>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40" w:firstLine="510"/>
        <w:spacing w:after="0" w:line="270" w:lineRule="auto"/>
        <w:rPr>
          <w:sz w:val="20"/>
          <w:szCs w:val="20"/>
          <w:color w:val="auto"/>
        </w:rPr>
      </w:pPr>
      <w:r>
        <w:rPr>
          <w:rFonts w:ascii="Arial" w:cs="Arial" w:eastAsia="Arial" w:hAnsi="Arial"/>
          <w:sz w:val="17"/>
          <w:szCs w:val="17"/>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Trump administration’s budget proposal for fiscal 2021 includes a $135 billion allowance to support legislative proposals seeking to reduce drug prices, increase competition, lower out-of-pocket drug costs for patients, and increase patient access to lower-cost generic and biosimilar drugs. In addition,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started implementing some of these measures under its existing authority. For example, in May 2019, CMS issued a final rule to allow Medicare Advantage plans the option to use step therapy for Part B drugs beginning January 1, 2020. This final rule codified CMS’s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188"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CDA and other comparable foreign regulatory authorities; provide true, complete and accurate information to the FDA, EMA, CDA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6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connection with our IPO, we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41" w:lineRule="exact"/>
        <w:rPr>
          <w:sz w:val="20"/>
          <w:szCs w:val="20"/>
          <w:color w:val="auto"/>
        </w:rPr>
      </w:pPr>
    </w:p>
    <w:p>
      <w:pPr>
        <w:ind w:left="620" w:hanging="113"/>
        <w:spacing w:after="0" w:line="272"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69" w:lineRule="exact"/>
        <w:rPr>
          <w:rFonts w:ascii="Arial" w:cs="Arial" w:eastAsia="Arial" w:hAnsi="Arial"/>
          <w:sz w:val="17"/>
          <w:szCs w:val="17"/>
          <w:color w:val="auto"/>
        </w:rPr>
      </w:pPr>
    </w:p>
    <w:p>
      <w:pPr>
        <w:ind w:left="620" w:hanging="113"/>
        <w:spacing w:after="0" w:line="255"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84" w:lineRule="exact"/>
        <w:rPr>
          <w:rFonts w:ascii="Arial" w:cs="Arial" w:eastAsia="Arial" w:hAnsi="Arial"/>
          <w:sz w:val="18"/>
          <w:szCs w:val="18"/>
          <w:color w:val="auto"/>
        </w:rPr>
      </w:pPr>
    </w:p>
    <w:p>
      <w:pPr>
        <w:ind w:left="620" w:right="120" w:hanging="113"/>
        <w:spacing w:after="0" w:line="255"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4" w:lineRule="exact"/>
        <w:rPr>
          <w:rFonts w:ascii="Arial" w:cs="Arial" w:eastAsia="Arial" w:hAnsi="Arial"/>
          <w:sz w:val="18"/>
          <w:szCs w:val="18"/>
          <w:color w:val="auto"/>
        </w:rPr>
      </w:pPr>
    </w:p>
    <w:p>
      <w:pPr>
        <w:ind w:left="620" w:right="80" w:hanging="113"/>
        <w:spacing w:after="0" w:line="301" w:lineRule="auto"/>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49" w:lineRule="exact"/>
        <w:rPr>
          <w:rFonts w:ascii="Arial" w:cs="Arial" w:eastAsia="Arial" w:hAnsi="Arial"/>
          <w:sz w:val="16"/>
          <w:szCs w:val="16"/>
          <w:color w:val="auto"/>
        </w:rPr>
      </w:pPr>
    </w:p>
    <w:p>
      <w:pPr>
        <w:ind w:left="620" w:right="40" w:hanging="113"/>
        <w:spacing w:after="0" w:line="25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Centers for Medicare &amp; Medicaid Services under the Open Payments Program, information related to payments or other transfers of value made to physicians, as defined by such law, and teaching hospitals, as well as ownership and investment interests held by physicians and their immediate family members;</w:t>
      </w:r>
    </w:p>
    <w:p>
      <w:pPr>
        <w:spacing w:after="0" w:line="79" w:lineRule="exact"/>
        <w:rPr>
          <w:rFonts w:ascii="Arial" w:cs="Arial" w:eastAsia="Arial" w:hAnsi="Arial"/>
          <w:sz w:val="18"/>
          <w:szCs w:val="18"/>
          <w:color w:val="auto"/>
        </w:rPr>
      </w:pPr>
    </w:p>
    <w:p>
      <w:pPr>
        <w:ind w:left="620" w:right="600" w:hanging="113"/>
        <w:spacing w:after="0" w:line="27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620" w:hanging="113"/>
        <w:spacing w:after="0" w:line="269"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ind w:right="40" w:firstLine="510"/>
        <w:spacing w:after="0" w:line="288"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 wide variety of provincial, state, national, and international laws and regulations apply to the collection, use, retention, protection, disclosure, transfer and other processing of personal data. These data protection and privacy-related laws and regulations are evolving and may result in ever-increasing regulatory and public scrutiny and escalating levels of enforcement and sanctions. For example, the European Union General Data Protection Regulation, or GDPR, which became fully effective on May 25, 2018, imposes stringent data protection requirements and provides for penalties for noncompliance of up to the greater of 20 million euros or four percent of worldwide annual revenues. Additionally, California recently enacted legislation, the California Consumer Privacy Act, or CCPA, that, effective January 1, 2020, among other things, requires covered companies to provide new disclosures to California consumers, and afford such consumers new abilities to opt-out of certain sales of personal information. The GDPR, CCPA and many other laws and regulations relating to privacy and data protection are still being tested in courts, and they are subject to new and differing interpretations by courts and regulatory officials. We are working to comply with the GDPR, CCPA and other privacy and data protection laws and regulations that apply to us, and we anticipate needing to devote significant additional resources to complying with these laws and regulations. It is possible that the GDPR, CCPA or other laws and regulations relating to privacy and data protection may be interpreted and applied in a manner that is inconsistent from jurisdiction to jurisdiction or inconsistent with our current policies and practices.</w:t>
      </w:r>
    </w:p>
    <w:p>
      <w:pPr>
        <w:spacing w:after="0" w:line="7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Our actual or perceived failure to adequately comply with applicable laws and regulations relating to privacy and data protection, or to protect personal data and other data we process or maintain, could result in regulatory fines, investigations and enforcement actions, penalties and other liabilities, claims for damages by affected individuals, and damage to our reputation, any of which could materially affect our business, financial condition, results of operations and growth prospects.</w:t>
      </w:r>
    </w:p>
    <w:p>
      <w:pPr>
        <w:spacing w:after="0" w:line="18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2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8"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79"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70"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7"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9"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right="580" w:firstLine="510"/>
        <w:spacing w:after="0" w:line="308" w:lineRule="auto"/>
        <w:rPr>
          <w:sz w:val="20"/>
          <w:szCs w:val="20"/>
          <w:color w:val="auto"/>
        </w:rPr>
      </w:pPr>
      <w:r>
        <w:rPr>
          <w:rFonts w:ascii="Arial" w:cs="Arial" w:eastAsia="Arial" w:hAnsi="Arial"/>
          <w:sz w:val="17"/>
          <w:szCs w:val="17"/>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38" w:lineRule="exact"/>
        <w:rPr>
          <w:sz w:val="20"/>
          <w:szCs w:val="20"/>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us;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produce required volume in a timely manner and to quality standards.</w:t>
      </w:r>
    </w:p>
    <w:p>
      <w:pPr>
        <w:spacing w:after="0" w:line="117" w:lineRule="exact"/>
        <w:rPr>
          <w:sz w:val="20"/>
          <w:szCs w:val="20"/>
          <w:color w:val="auto"/>
        </w:rPr>
      </w:pPr>
    </w:p>
    <w:p>
      <w:pPr>
        <w:ind w:right="280" w:firstLine="510"/>
        <w:spacing w:after="0" w:line="27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68"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8"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49"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7" w:name="page48"/>
    <w:bookmarkEnd w:id="47"/>
    <w:p>
      <w:pPr>
        <w:ind w:right="140"/>
        <w:spacing w:after="0" w:line="342"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17" w:lineRule="exact"/>
        <w:rPr>
          <w:sz w:val="20"/>
          <w:szCs w:val="20"/>
          <w:color w:val="auto"/>
        </w:rPr>
      </w:pPr>
    </w:p>
    <w:p>
      <w:pPr>
        <w:ind w:left="620" w:hanging="113"/>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620" w:right="140" w:hanging="113"/>
        <w:spacing w:after="0" w:line="263"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75" w:lineRule="exact"/>
        <w:rPr>
          <w:rFonts w:ascii="Arial" w:cs="Arial" w:eastAsia="Arial" w:hAnsi="Arial"/>
          <w:sz w:val="18"/>
          <w:szCs w:val="18"/>
          <w:color w:val="auto"/>
        </w:rPr>
      </w:pPr>
    </w:p>
    <w:p>
      <w:pPr>
        <w:ind w:left="620" w:right="200" w:hanging="113"/>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620" w:right="780" w:hanging="113"/>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620" w:right="200" w:hanging="113"/>
        <w:spacing w:after="0" w:line="342" w:lineRule="auto"/>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620" w:right="20" w:hanging="113"/>
        <w:spacing w:after="0" w:line="263"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5" w:lineRule="exact"/>
        <w:rPr>
          <w:rFonts w:ascii="Arial" w:cs="Arial" w:eastAsia="Arial" w:hAnsi="Arial"/>
          <w:sz w:val="18"/>
          <w:szCs w:val="18"/>
          <w:color w:val="auto"/>
        </w:rPr>
      </w:pPr>
    </w:p>
    <w:p>
      <w:pPr>
        <w:ind w:left="620" w:right="40" w:hanging="113"/>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620" w:hanging="113"/>
        <w:spacing w:after="0" w:line="263"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620" w:right="180" w:hanging="113"/>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17" w:lineRule="exact"/>
        <w:rPr>
          <w:rFonts w:ascii="Arial" w:cs="Arial" w:eastAsia="Arial" w:hAnsi="Arial"/>
          <w:sz w:val="18"/>
          <w:szCs w:val="18"/>
          <w:color w:val="auto"/>
        </w:rPr>
      </w:pPr>
    </w:p>
    <w:p>
      <w:pPr>
        <w:ind w:left="620" w:right="380" w:hanging="113"/>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62" w:lineRule="exact"/>
        <w:rPr>
          <w:rFonts w:ascii="Arial" w:cs="Arial" w:eastAsia="Arial" w:hAnsi="Arial"/>
          <w:sz w:val="18"/>
          <w:szCs w:val="18"/>
          <w:color w:val="auto"/>
        </w:rPr>
      </w:pPr>
    </w:p>
    <w:p>
      <w:pPr>
        <w:ind w:left="620" w:right="960" w:hanging="113"/>
        <w:spacing w:after="0" w:line="342" w:lineRule="auto"/>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5" w:lineRule="exact"/>
        <w:rPr>
          <w:rFonts w:ascii="Arial" w:cs="Arial" w:eastAsia="Arial" w:hAnsi="Arial"/>
          <w:sz w:val="16"/>
          <w:szCs w:val="16"/>
          <w:color w:val="auto"/>
        </w:rPr>
      </w:pPr>
    </w:p>
    <w:p>
      <w:pPr>
        <w:ind w:left="620" w:right="460" w:hanging="113"/>
        <w:spacing w:after="0" w:line="308"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ind w:left="620" w:hanging="113"/>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7" w:lineRule="exact"/>
        <w:rPr>
          <w:rFonts w:ascii="Arial" w:cs="Arial" w:eastAsia="Arial" w:hAnsi="Arial"/>
          <w:sz w:val="18"/>
          <w:szCs w:val="18"/>
          <w:color w:val="auto"/>
        </w:rPr>
      </w:pPr>
    </w:p>
    <w:p>
      <w:pPr>
        <w:ind w:left="620" w:right="240" w:hanging="113"/>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62"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129"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70"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6"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49"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49"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58"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7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69"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5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85"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80" w:firstLine="510"/>
        <w:spacing w:after="0" w:line="270"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3"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58"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4"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4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4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ind w:right="20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7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7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block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60"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53"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firstLine="510"/>
        <w:spacing w:after="0" w:line="288" w:lineRule="auto"/>
        <w:rPr>
          <w:sz w:val="20"/>
          <w:szCs w:val="20"/>
          <w:color w:val="auto"/>
        </w:rPr>
      </w:pPr>
      <w:r>
        <w:rPr>
          <w:rFonts w:ascii="Arial" w:cs="Arial" w:eastAsia="Arial" w:hAnsi="Arial"/>
          <w:sz w:val="16"/>
          <w:szCs w:val="16"/>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60"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3"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in the United States. The application for registration of the mark “KODIAK SCIENCES” in the United States has been allowed. Over the long term, if we are unable to establish name recognition based on our trademarks and trade names, then we may not be able to compete effectively and our business may be adversely affected. We engage 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right="120"/>
        <w:spacing w:after="0" w:line="275" w:lineRule="auto"/>
        <w:rPr>
          <w:sz w:val="20"/>
          <w:szCs w:val="20"/>
          <w:color w:val="auto"/>
        </w:rPr>
      </w:pPr>
      <w:r>
        <w:rPr>
          <w:rFonts w:ascii="Arial" w:cs="Arial" w:eastAsia="Arial" w:hAnsi="Arial"/>
          <w:sz w:val="17"/>
          <w:szCs w:val="17"/>
          <w:color w:val="auto"/>
        </w:rPr>
        <w:t>third party watching service to monitor use by third parties of names that are identical or similar to our name. We have identified at least two companies that are using names that we continue to monitor. We have sent a cease and desist letter to one of the companies. If we deem it appropriate, we may decide to take further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620" w:right="160" w:hanging="113"/>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62" w:lineRule="exact"/>
        <w:rPr>
          <w:rFonts w:ascii="Arial" w:cs="Arial" w:eastAsia="Arial" w:hAnsi="Arial"/>
          <w:sz w:val="18"/>
          <w:szCs w:val="18"/>
          <w:color w:val="auto"/>
        </w:rPr>
      </w:pPr>
    </w:p>
    <w:p>
      <w:pPr>
        <w:ind w:left="620" w:right="60" w:hanging="113"/>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62" w:lineRule="exact"/>
        <w:rPr>
          <w:rFonts w:ascii="Arial" w:cs="Arial" w:eastAsia="Arial" w:hAnsi="Arial"/>
          <w:sz w:val="18"/>
          <w:szCs w:val="18"/>
          <w:color w:val="auto"/>
        </w:rPr>
      </w:pPr>
    </w:p>
    <w:p>
      <w:pPr>
        <w:ind w:left="620" w:right="500" w:hanging="113"/>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17" w:lineRule="exact"/>
        <w:rPr>
          <w:rFonts w:ascii="Arial" w:cs="Arial" w:eastAsia="Arial" w:hAnsi="Arial"/>
          <w:sz w:val="18"/>
          <w:szCs w:val="18"/>
          <w:color w:val="auto"/>
        </w:rPr>
      </w:pPr>
    </w:p>
    <w:p>
      <w:pPr>
        <w:ind w:left="620" w:right="360" w:hanging="113"/>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620" w:right="140" w:hanging="113"/>
        <w:spacing w:after="0" w:line="308"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620" w:hanging="113"/>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620" w:right="20" w:hanging="113"/>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8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conduct our operations at our facility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9"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As of March 31, 2020, we had 41 employees, all of whom were full-time.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76" w:lineRule="exact"/>
        <w:rPr>
          <w:sz w:val="20"/>
          <w:szCs w:val="20"/>
          <w:color w:val="auto"/>
        </w:rPr>
      </w:pPr>
    </w:p>
    <w:p>
      <w:pPr>
        <w:ind w:left="620" w:hanging="113"/>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17" w:lineRule="exact"/>
        <w:rPr>
          <w:rFonts w:ascii="Arial" w:cs="Arial" w:eastAsia="Arial" w:hAnsi="Arial"/>
          <w:sz w:val="18"/>
          <w:szCs w:val="18"/>
          <w:color w:val="auto"/>
        </w:rPr>
      </w:pPr>
    </w:p>
    <w:p>
      <w:pPr>
        <w:ind w:left="620" w:right="840" w:hanging="113"/>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11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76"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8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4"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w:t>
      </w:r>
    </w:p>
    <w:p>
      <w:pPr>
        <w:spacing w:after="0" w:line="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consolidated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38" w:lineRule="exact"/>
        <w:rPr>
          <w:sz w:val="20"/>
          <w:szCs w:val="20"/>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17" w:lineRule="exact"/>
        <w:rPr>
          <w:rFonts w:ascii="Arial" w:cs="Arial" w:eastAsia="Arial" w:hAnsi="Arial"/>
          <w:sz w:val="18"/>
          <w:szCs w:val="18"/>
          <w:color w:val="auto"/>
        </w:rPr>
      </w:pPr>
    </w:p>
    <w:p>
      <w:pPr>
        <w:ind w:left="620" w:right="300" w:hanging="113"/>
        <w:spacing w:after="0" w:line="277"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62" w:lineRule="exact"/>
        <w:rPr>
          <w:rFonts w:ascii="Arial" w:cs="Arial" w:eastAsia="Arial" w:hAnsi="Arial"/>
          <w:sz w:val="18"/>
          <w:szCs w:val="18"/>
          <w:color w:val="auto"/>
        </w:rPr>
      </w:pPr>
    </w:p>
    <w:p>
      <w:pPr>
        <w:ind w:left="620" w:right="560" w:hanging="113"/>
        <w:spacing w:after="0" w:line="277"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left="620" w:hanging="11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620" w:right="400" w:hanging="113"/>
        <w:spacing w:after="0" w:line="277"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620" w:right="100" w:hanging="113"/>
        <w:spacing w:after="0" w:line="277"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62"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may be vulnerable to damage from computer viruses and unauthorized access. Although to our knowledge, we have not experienced any such material system failure or security breach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84"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secure maintenance of information is critical to our business and reputation. We believe that companies have been increasingly subject to a wide variety of security incidents, cyber-attacks and other attempts to gain unauthorized access. These threats can come from a variety of sources, ranging in sophistication from an individual hacker to a state-sponsored attack. Cyber threats may be generic, or they may be custom-crafted against our information systems. Over the past few years, cyber-attacks have become more prevalent and much harder to detect and defend against.</w:t>
      </w:r>
    </w:p>
    <w:p>
      <w:pPr>
        <w:spacing w:after="0" w:line="6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network and storage applications and those of our collaborators, CROs and vendors may be subject to unauthorized access by hackers or breached due to operator error, malfeasance or other system disruptions. Additionally, the increased usage of computers operated on home networks due to the shelter-in-place or similar restrictions related to the COVID-19 pandemic may make our systems and those of our CROs and vendor more susceptible to security breaches. It is often difficult to anticipate or immediately detect such incidents and the damage caused by them. These data breaches and any unauthorized access or disclosure of our information or intellectual property could compromise our intellectual property and expose sensitive business information. A data security breach could also lead to public exposure of personal information of our employees. Cyber-attacks could cause us to incur significant remediation costs, disrupt key business operations and divert attention of management and key information technology resources. Our network security and data recovery measures and those of our collaborators, CROs and vendors may not be adequate to protect against such security breaches and disruptions. To the extent that any disruption or security breach were to result in a loss of, or damage to, our data or systems, or inappropriate disclosure of confidential or proprietary information, we could incur liability, our competitive position could be harmed, and the further development and commercialization of our product candidates could be delayed.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the current COVID-19 pandemic, the various quarantines, shelter-in-place and similar government orders, or the perception that such orders, shutdowns or other restrictions on the conduct of business operations could occur, related to COVID-19 or other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the coronavirus impacts our results will depend on future developments, which are highly uncertain and cannot be accurately predicted, including new information which may emerge concerning the severity of the coronavirus and the actions to contain the coronavirus or treat its impact, among others.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180" w:firstLine="510"/>
        <w:spacing w:after="0" w:line="257" w:lineRule="auto"/>
        <w:rPr>
          <w:sz w:val="20"/>
          <w:szCs w:val="20"/>
          <w:color w:val="auto"/>
        </w:rPr>
      </w:pPr>
      <w:r>
        <w:rPr>
          <w:rFonts w:ascii="Arial" w:cs="Arial" w:eastAsia="Arial" w:hAnsi="Arial"/>
          <w:sz w:val="18"/>
          <w:szCs w:val="18"/>
          <w:color w:val="auto"/>
        </w:rPr>
        <w:t>All of our operations including our corporate headquarters are located in a single facility in Palo Alto,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recently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2" w:lineRule="exact"/>
        <w:rPr>
          <w:sz w:val="20"/>
          <w:szCs w:val="20"/>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differing and changing regulatory requirements, pricing and reimbursement regimes in non-U.S. countries;</w:t>
      </w:r>
    </w:p>
    <w:p>
      <w:pPr>
        <w:spacing w:after="0" w:line="117" w:lineRule="exact"/>
        <w:rPr>
          <w:rFonts w:ascii="Arial" w:cs="Arial" w:eastAsia="Arial" w:hAnsi="Arial"/>
          <w:sz w:val="18"/>
          <w:szCs w:val="18"/>
          <w:color w:val="auto"/>
        </w:rPr>
      </w:pPr>
    </w:p>
    <w:p>
      <w:pPr>
        <w:ind w:left="620" w:right="800" w:hanging="113"/>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laws;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June 2016, the United Kingdom, or UK, held a referendum in which voters approved an exit from the EU, commonly referred to as "Brexit." This referendum has created political and economic uncertainty, particularly in the UK and the EU, and this uncertainty may persist for years. The UK officially withdrew from the EU on January 31, 2020, however the effects of the departure on both the EU and the UK are still highly uncertain, as many details of the divorce have yet to be addressed. The withdrawal may cause increased economic volatility, affecting our operations and business. Brexit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87"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These and other risks associated with our planned international operations may materially adversely affect our ability to attain profitable operations.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ind w:right="140"/>
        <w:spacing w:after="0" w:line="301" w:lineRule="auto"/>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including the recent COVID-19 outbreak, in regions where we or third parties on which we rely have significant manufacturing facilities, concentrations of clinical trial sites or other business operations. COVID-19 could materially affect our operations, including at our headquarters in the San Francisco Bay Area and at our clinical trial sites, as well as the business or operations of our manufacturers, CROs or other third parties with whom we conduct business.</w:t>
      </w:r>
    </w:p>
    <w:p>
      <w:pPr>
        <w:spacing w:after="0" w:line="49"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Our business could be adversely affected by health epidemics in regions where we have concentrations of clinical trial sites or other business operations and could cause significant disruption in the operations of third party manufacturers and CROs upon whom we rely. For example, on March 10, 2020, the World Health Organization declared the COVID-19 outbreak a pandemic. We continue to monitor our operations and government recommendations and may elect to temporarily close our office and/or laboratory space to protect our employees. Quarantines for COVID-19 or other viruses could impact personnel at third party manufacturing facilities, or the availability or cost of materials, which would disrupt our supply chain. While many of these materials may be obtained by more than one supplier, port closures and other restrictions resulting from the coronavirus outbreak in the region may disrupt our supply chain or limit our ability to obtain sufficient materials for our drug products.</w:t>
      </w:r>
    </w:p>
    <w:p>
      <w:pPr>
        <w:spacing w:after="0" w:line="69"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In addition, our current and future clinical trials may be affected by the COVID-19 outbreak. Site initiation and patient enrollment may be delayed due to prioritization of hospital resources toward the COVID-19 outbreak.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to COVID-19 and adversely impact our clinical trial operations. Kodiak staff and/or our CRO partners may not be able to travel to study sites, impacting further site initiations.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if these patients are adversely affected by the COVID-19 outbreak. To date, we are seeing low levels of patient missed visits (&lt;5%).</w:t>
      </w:r>
    </w:p>
    <w:p>
      <w:pPr>
        <w:spacing w:after="0" w:line="57" w:lineRule="exact"/>
        <w:rPr>
          <w:sz w:val="20"/>
          <w:szCs w:val="20"/>
          <w:color w:val="auto"/>
        </w:rPr>
      </w:pPr>
    </w:p>
    <w:p>
      <w:pPr>
        <w:jc w:val="both"/>
        <w:ind w:right="360" w:firstLine="510"/>
        <w:spacing w:after="0" w:line="259" w:lineRule="auto"/>
        <w:rPr>
          <w:sz w:val="20"/>
          <w:szCs w:val="20"/>
          <w:color w:val="auto"/>
        </w:rPr>
      </w:pPr>
      <w:r>
        <w:rPr>
          <w:rFonts w:ascii="Arial" w:cs="Arial" w:eastAsia="Arial" w:hAnsi="Arial"/>
          <w:sz w:val="18"/>
          <w:szCs w:val="18"/>
          <w:color w:val="auto"/>
        </w:rPr>
        <w:t>The global outbreak of COVID-19 continues to rapidly evolve. The ultimate impact of the COVID-19 outbreak or a similar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7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To the extent the COVID-19 pandemic adversely affects our business and results of operations, it may also have the effect of heightening many of the other risks described in this “Risk Factors” section.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 of December 31, 2019, we had federal net operating loss carryforwards, or NOLs, of $31.8 million. A portion of the federal net operating loss carryforwards begin to expire in 2035.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However, utilization of NOLs has been temporarily expanded under the Coronavirus Aid, Relief, and Economic Security Act, or CARES Act. Under the CARES Act, (i) for taxable years beginning before 2021, NOL carryforwards and NOL carrybacks may offset 100% of taxable income, and (ii) NOLs arising in 2018, 2019, and 2020 taxable years may be carried back to each of the five preceding years to generate a refund. We will be unable to use our NOLs if we do not attain profitability sufficient to offset our available NOLs prior to their expiration.</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62" w:lineRule="exact"/>
        <w:rPr>
          <w:sz w:val="20"/>
          <w:szCs w:val="20"/>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develop our ABC Platform;</w:t>
      </w:r>
    </w:p>
    <w:p>
      <w:pPr>
        <w:spacing w:after="0" w:line="117" w:lineRule="exact"/>
        <w:rPr>
          <w:rFonts w:ascii="Arial" w:cs="Arial" w:eastAsia="Arial" w:hAnsi="Arial"/>
          <w:sz w:val="18"/>
          <w:szCs w:val="18"/>
          <w:color w:val="auto"/>
        </w:rPr>
      </w:pPr>
    </w:p>
    <w:p>
      <w:pPr>
        <w:ind w:left="620" w:hanging="113"/>
        <w:spacing w:after="0" w:line="277"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620" w:right="100" w:hanging="113"/>
        <w:spacing w:after="0" w:line="277"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fluctuations attributable to the COVID-19 global pandemic and other unforeseeable circumstances; and</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 even if our business is doing well.</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62"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us may make our common stock less attractive to investors.</w:t>
      </w:r>
    </w:p>
    <w:p>
      <w:pPr>
        <w:spacing w:after="0" w:line="62"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In addition, to the extent that we continue to qualify as a "smaller reporting company," as defined in the Exchange Act, we may choose to provide the scaled disclosure available to smaller reporting companies. As a result, the information we provide stockholders may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As a public company, and particularly after we are no longer an emerging growth company, we will continue to incur significant legal, accounting, and other expenses that we did not incur as a private company. SOX,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right="60"/>
        <w:spacing w:after="0" w:line="289" w:lineRule="auto"/>
        <w:rPr>
          <w:sz w:val="20"/>
          <w:szCs w:val="20"/>
          <w:color w:val="auto"/>
        </w:rPr>
      </w:pPr>
      <w:r>
        <w:rPr>
          <w:rFonts w:ascii="Arial" w:cs="Arial" w:eastAsia="Arial" w:hAnsi="Arial"/>
          <w:sz w:val="16"/>
          <w:szCs w:val="16"/>
          <w:color w:val="auto"/>
        </w:rPr>
        <w:t>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continually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internal controls, our business, financial position and results of operations could be adversely affected.</w:t>
      </w:r>
    </w:p>
    <w:p>
      <w:pPr>
        <w:spacing w:after="0" w:line="140" w:lineRule="exact"/>
        <w:rPr>
          <w:sz w:val="20"/>
          <w:szCs w:val="20"/>
          <w:color w:val="auto"/>
        </w:rPr>
      </w:pPr>
    </w:p>
    <w:p>
      <w:pPr>
        <w:jc w:val="both"/>
        <w:ind w:right="280" w:firstLine="510"/>
        <w:spacing w:after="0" w:line="277" w:lineRule="auto"/>
        <w:rPr>
          <w:sz w:val="20"/>
          <w:szCs w:val="20"/>
          <w:color w:val="auto"/>
        </w:rPr>
      </w:pPr>
      <w:r>
        <w:rPr>
          <w:rFonts w:ascii="Arial" w:cs="Arial" w:eastAsia="Arial" w:hAnsi="Arial"/>
          <w:sz w:val="18"/>
          <w:szCs w:val="18"/>
          <w:color w:val="auto"/>
        </w:rPr>
        <w:t>As a public company, we are subject to reporting and other obligations under the Exchange Act, including the requirements of SOX Section 404, which require annual management assessments of the effectiveness of our internal control over financial reporting.</w:t>
      </w:r>
    </w:p>
    <w:p>
      <w:pPr>
        <w:spacing w:after="0" w:line="62" w:lineRule="exact"/>
        <w:rPr>
          <w:sz w:val="20"/>
          <w:szCs w:val="20"/>
          <w:color w:val="auto"/>
        </w:rPr>
      </w:pPr>
    </w:p>
    <w:p>
      <w:pPr>
        <w:jc w:val="both"/>
        <w:ind w:right="260" w:firstLine="510"/>
        <w:spacing w:after="0" w:line="287" w:lineRule="auto"/>
        <w:rPr>
          <w:sz w:val="20"/>
          <w:szCs w:val="20"/>
          <w:color w:val="auto"/>
        </w:rPr>
      </w:pPr>
      <w:r>
        <w:rPr>
          <w:rFonts w:ascii="Arial" w:cs="Arial" w:eastAsia="Arial" w:hAnsi="Arial"/>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spacing w:after="0" w:line="2" w:lineRule="exact"/>
        <w:rPr>
          <w:sz w:val="20"/>
          <w:szCs w:val="20"/>
          <w:color w:val="auto"/>
        </w:rPr>
      </w:pPr>
    </w:p>
    <w:p>
      <w:pPr>
        <w:jc w:val="both"/>
        <w:ind w:right="260"/>
        <w:spacing w:after="0" w:line="260" w:lineRule="auto"/>
        <w:rPr>
          <w:sz w:val="20"/>
          <w:szCs w:val="20"/>
          <w:color w:val="auto"/>
        </w:rPr>
      </w:pPr>
      <w:r>
        <w:rPr>
          <w:rFonts w:ascii="Arial" w:cs="Arial" w:eastAsia="Arial" w:hAnsi="Arial"/>
          <w:sz w:val="18"/>
          <w:szCs w:val="18"/>
          <w:color w:val="auto"/>
        </w:rPr>
        <w:t>These reporting and other obligations place significant demands on our management and administrative and operational resources, including accounting resources.</w:t>
      </w:r>
    </w:p>
    <w:p>
      <w:pPr>
        <w:spacing w:after="0" w:line="7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proceeds from any offering and may not use them effectively.</w:t>
      </w:r>
    </w:p>
    <w:p>
      <w:pPr>
        <w:spacing w:after="0" w:line="11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received from any offering. Our management may spend a portion or all of the net proceeds from any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any offering in a manner that does not produce income or that loses value.</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6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9" w:lineRule="exact"/>
        <w:rPr>
          <w:sz w:val="20"/>
          <w:szCs w:val="20"/>
          <w:color w:val="auto"/>
        </w:rPr>
      </w:pPr>
    </w:p>
    <w:p>
      <w:pPr>
        <w:ind w:left="620" w:hanging="113"/>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620" w:hanging="113"/>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ind w:left="620" w:right="200" w:hanging="113"/>
        <w:spacing w:after="0" w:line="277"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620" w:hanging="113"/>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 and</w:t>
      </w:r>
    </w:p>
    <w:p>
      <w:pPr>
        <w:spacing w:after="0" w:line="117" w:lineRule="exact"/>
        <w:rPr>
          <w:rFonts w:ascii="Arial" w:cs="Arial" w:eastAsia="Arial" w:hAnsi="Arial"/>
          <w:sz w:val="18"/>
          <w:szCs w:val="18"/>
          <w:color w:val="auto"/>
        </w:rPr>
      </w:pPr>
    </w:p>
    <w:p>
      <w:pPr>
        <w:ind w:left="620" w:right="300" w:hanging="113"/>
        <w:spacing w:after="0" w:line="277"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4"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17" w:lineRule="exact"/>
        <w:rPr>
          <w:sz w:val="20"/>
          <w:szCs w:val="20"/>
          <w:color w:val="auto"/>
        </w:rPr>
      </w:pPr>
    </w:p>
    <w:p>
      <w:pPr>
        <w:ind w:left="620" w:hanging="113"/>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17" w:lineRule="exact"/>
        <w:rPr>
          <w:rFonts w:ascii="Arial" w:cs="Arial" w:eastAsia="Arial" w:hAnsi="Arial"/>
          <w:sz w:val="18"/>
          <w:szCs w:val="18"/>
          <w:color w:val="auto"/>
        </w:rPr>
      </w:pPr>
    </w:p>
    <w:p>
      <w:pPr>
        <w:ind w:left="620" w:hanging="113"/>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which we refer to as the Federal Forum Provision. However, on December 19, 2018, the Delaware Chancery Court issued an opinion in </w:t>
      </w:r>
      <w:r>
        <w:rPr>
          <w:rFonts w:ascii="Arial" w:cs="Arial" w:eastAsia="Arial" w:hAnsi="Arial"/>
          <w:sz w:val="17"/>
          <w:szCs w:val="17"/>
          <w:i w:val="1"/>
          <w:iCs w:val="1"/>
          <w:color w:val="auto"/>
        </w:rPr>
        <w:t>Sciabacucchi v.</w:t>
      </w:r>
      <w:r>
        <w:rPr>
          <w:rFonts w:ascii="Arial" w:cs="Arial" w:eastAsia="Arial" w:hAnsi="Arial"/>
          <w:sz w:val="17"/>
          <w:szCs w:val="17"/>
          <w:color w:val="auto"/>
        </w:rPr>
        <w:t xml:space="preserve"> </w:t>
      </w:r>
      <w:r>
        <w:rPr>
          <w:rFonts w:ascii="Arial" w:cs="Arial" w:eastAsia="Arial" w:hAnsi="Arial"/>
          <w:sz w:val="17"/>
          <w:szCs w:val="17"/>
          <w:i w:val="1"/>
          <w:iCs w:val="1"/>
          <w:color w:val="auto"/>
        </w:rPr>
        <w:t>Salzberg</w:t>
      </w:r>
      <w:r>
        <w:rPr>
          <w:rFonts w:ascii="Arial" w:cs="Arial" w:eastAsia="Arial" w:hAnsi="Arial"/>
          <w:sz w:val="17"/>
          <w:szCs w:val="17"/>
          <w:color w:val="auto"/>
        </w:rPr>
        <w:t>, C.A. No. 2017-0931-JTL, finding that provisions similar to the Federal Forum Provision are not valid under Delaware Law. As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disclosed in a Current Report on Form 8-K we filed on January 28, 2019, in light of the </w:t>
      </w:r>
      <w:r>
        <w:rPr>
          <w:rFonts w:ascii="Arial" w:cs="Arial" w:eastAsia="Arial" w:hAnsi="Arial"/>
          <w:sz w:val="17"/>
          <w:szCs w:val="17"/>
          <w:i w:val="1"/>
          <w:iCs w:val="1"/>
          <w:color w:val="auto"/>
        </w:rPr>
        <w:t>Sciabacucchi</w:t>
      </w:r>
      <w:r>
        <w:rPr>
          <w:rFonts w:ascii="Arial" w:cs="Arial" w:eastAsia="Arial" w:hAnsi="Arial"/>
          <w:sz w:val="17"/>
          <w:szCs w:val="17"/>
          <w:color w:val="auto"/>
        </w:rPr>
        <w:t xml:space="preserve"> decision, we do not currently intend to enforce the foregoing federal forum selection provision unless the </w:t>
      </w:r>
      <w:r>
        <w:rPr>
          <w:rFonts w:ascii="Arial" w:cs="Arial" w:eastAsia="Arial" w:hAnsi="Arial"/>
          <w:sz w:val="17"/>
          <w:szCs w:val="17"/>
          <w:i w:val="1"/>
          <w:iCs w:val="1"/>
          <w:color w:val="auto"/>
        </w:rPr>
        <w:t>Sciabacucchi</w:t>
      </w:r>
      <w:r>
        <w:rPr>
          <w:rFonts w:ascii="Arial" w:cs="Arial" w:eastAsia="Arial" w:hAnsi="Arial"/>
          <w:sz w:val="17"/>
          <w:szCs w:val="17"/>
          <w:color w:val="auto"/>
        </w:rPr>
        <w:t xml:space="preserve"> decision is reversed. If the Delaware Supreme Court affirms the Chancery Court’s decision, then we intend to amend the Bylaws to remove the invalid provision. Such amendment could cause us to incur additional costs, which could have an adverse effect on our business, financial condition or results of operations.</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7900" w:type="dxa"/>
            <w:vAlign w:val="bottom"/>
            <w:gridSpan w:val="13"/>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0" w:type="dxa"/>
            <w:vAlign w:val="bottom"/>
          </w:tcPr>
          <w:p>
            <w:pPr>
              <w:ind w:left="500"/>
              <w:spacing w:after="0"/>
              <w:rPr>
                <w:sz w:val="20"/>
                <w:szCs w:val="20"/>
                <w:color w:val="auto"/>
              </w:rPr>
            </w:pPr>
            <w:r>
              <w:rPr>
                <w:rFonts w:ascii="Arial" w:cs="Arial" w:eastAsia="Arial" w:hAnsi="Arial"/>
                <w:sz w:val="18"/>
                <w:szCs w:val="18"/>
                <w:i w:val="1"/>
                <w:iCs w:val="1"/>
                <w:color w:val="auto"/>
              </w:rPr>
              <w:t>(a)</w:t>
            </w:r>
          </w:p>
        </w:tc>
        <w:tc>
          <w:tcPr>
            <w:tcW w:w="7060" w:type="dxa"/>
            <w:vAlign w:val="bottom"/>
            <w:gridSpan w:val="12"/>
          </w:tcPr>
          <w:p>
            <w:pPr>
              <w:ind w:left="40"/>
              <w:spacing w:after="0"/>
              <w:rPr>
                <w:sz w:val="20"/>
                <w:szCs w:val="20"/>
                <w:color w:val="auto"/>
              </w:rPr>
            </w:pPr>
            <w:r>
              <w:rPr>
                <w:rFonts w:ascii="Arial" w:cs="Arial" w:eastAsia="Arial" w:hAnsi="Arial"/>
                <w:sz w:val="18"/>
                <w:szCs w:val="18"/>
                <w:i w:val="1"/>
                <w:iCs w:val="1"/>
                <w:color w:val="auto"/>
              </w:rPr>
              <w:t>Exhibits.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3"/>
              </w:rPr>
              <w:t>Incorporated by Reference</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76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1"/>
                <w:szCs w:val="11"/>
                <w:color w:val="auto"/>
              </w:rPr>
            </w:pPr>
          </w:p>
        </w:tc>
        <w:tc>
          <w:tcPr>
            <w:tcW w:w="6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1"/>
                <w:szCs w:val="11"/>
                <w:color w:val="auto"/>
              </w:rPr>
            </w:pPr>
          </w:p>
        </w:tc>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40" w:type="dxa"/>
            <w:vAlign w:val="bottom"/>
          </w:tcPr>
          <w:p>
            <w:pPr>
              <w:ind w:left="10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Certification of Principal Executive Officer Pursuant to Rules 13a-14(a) and 15d-14(a)</w:t>
              </w:r>
            </w:hyperlink>
          </w:p>
        </w:tc>
        <w:tc>
          <w:tcPr>
            <w:tcW w:w="46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00" w:type="dxa"/>
            <w:vAlign w:val="bottom"/>
            <w:gridSpan w:val="10"/>
          </w:tcPr>
          <w:p>
            <w:pPr>
              <w:spacing w:after="0" w:line="196"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under the Securities Exchange Act of 1934, as Adopted Pursuant to Section 302 of the</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Sarbanes-Oxley Act of 2002</w:t>
              </w:r>
            </w:hyperlink>
          </w:p>
        </w:tc>
        <w:tc>
          <w:tcPr>
            <w:tcW w:w="5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ind w:left="10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Certification of Principal Accounting and Financial Officer Pursuant to Rules 13a-14(a)</w:t>
              </w:r>
            </w:hyperlink>
          </w:p>
        </w:tc>
        <w:tc>
          <w:tcPr>
            <w:tcW w:w="38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and 15d-14(a) under the Securities Exchange Act of 1934, as Adopted Pursuant to Section</w:t>
              </w:r>
            </w:hyperlink>
          </w:p>
        </w:tc>
        <w:tc>
          <w:tcPr>
            <w:tcW w:w="2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00" w:type="dxa"/>
            <w:vAlign w:val="bottom"/>
            <w:gridSpan w:val="1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302 of the Sarbanes-Oxley Act of 2002</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40" w:type="dxa"/>
            <w:vAlign w:val="bottom"/>
          </w:tcPr>
          <w:p>
            <w:pPr>
              <w:ind w:left="10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Certification of Principal Executive Officer Pursuant to 18 U.S.C. Section 1350, as</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60" w:type="dxa"/>
            <w:vAlign w:val="bottom"/>
            <w:tcBorders>
              <w:top w:val="single" w:sz="8" w:color="0000EE"/>
            </w:tcBorders>
            <w:gridSpan w:val="3"/>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Adopted Pursuant to Section 906 of the Sarbanes-Oxley Act of 2002</w:t>
              </w:r>
            </w:hyperlink>
          </w:p>
        </w:tc>
        <w:tc>
          <w:tcPr>
            <w:tcW w:w="740" w:type="dxa"/>
            <w:vAlign w:val="bottom"/>
            <w:gridSpan w:val="7"/>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0" w:type="dxa"/>
            <w:vAlign w:val="bottom"/>
          </w:tcPr>
          <w:p>
            <w:pPr>
              <w:ind w:left="10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Certification of Principal Accounting and Financial Officer Pursuant to 18 U.S.C. Section</w:t>
              </w:r>
            </w:hyperlink>
          </w:p>
        </w:tc>
        <w:tc>
          <w:tcPr>
            <w:tcW w:w="2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00" w:type="dxa"/>
            <w:vAlign w:val="bottom"/>
            <w:gridSpan w:val="10"/>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1350, as Adopted Pursuant to Section 906 of the Sarbanes-Oxley Act of 2002</w:t>
              </w:r>
            </w:hyperlink>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00" w:right="200" w:hanging="492"/>
        <w:spacing w:after="0" w:line="301"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KODIAK SCIENCES INC.</w:t>
      </w:r>
    </w:p>
    <w:p>
      <w:pPr>
        <w:spacing w:after="0" w:line="252"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7"/>
          <w:szCs w:val="17"/>
          <w:b w:val="1"/>
          <w:bCs w:val="1"/>
          <w:color w:val="auto"/>
        </w:rPr>
        <w:t>Senior Vice President and Chief Financial Officer</w:t>
      </w:r>
    </w:p>
    <w:p>
      <w:pPr>
        <w:spacing w:after="0" w:line="34"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33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800"/>
          </w:cols>
          <w:pgMar w:left="320" w:top="337" w:right="77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25"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 w:hanging="519"/>
        <w:spacing w:after="0" w:line="263"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9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25"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 w:hanging="519"/>
        <w:spacing w:after="0" w:line="263"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9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240"/>
          </w:cols>
          <w:pgMar w:left="320" w:top="35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10"/>
        <w:spacing w:after="0" w:line="263"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March 31, 2020 as filed with the Securities and Exchange Commission on the date hereof (the “Report”), I certify, pursuant to 18 U.S.C. § 1350, as adopted pursuant to § 906 of the Sarbanes-Oxley Act of 2002, to the best of my knowledge, that:</w:t>
      </w:r>
    </w:p>
    <w:p>
      <w:pPr>
        <w:spacing w:after="0" w:line="184" w:lineRule="exact"/>
        <w:rPr>
          <w:sz w:val="20"/>
          <w:szCs w:val="20"/>
          <w:color w:val="auto"/>
        </w:rPr>
      </w:pPr>
    </w:p>
    <w:p>
      <w:pPr>
        <w:ind w:left="1220" w:hanging="605"/>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360" w:hanging="605"/>
        <w:spacing w:after="0" w:line="277" w:lineRule="auto"/>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460" w:val="left"/>
          <w:tab w:leader="none" w:pos="78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pacing w:after="0" w:line="224" w:lineRule="exact"/>
        <w:rPr>
          <w:sz w:val="20"/>
          <w:szCs w:val="20"/>
          <w:color w:val="auto"/>
        </w:rPr>
      </w:pPr>
    </w:p>
    <w:p>
      <w:pPr>
        <w:ind w:right="80" w:firstLine="61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80" w:firstLine="61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10"/>
        <w:spacing w:after="0" w:line="263"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March 31, 2020 as filed with the Securities and Exchange Commission on the date hereof (the “Report”), I certify, pursuant to 18 U.S.C. § 1350, as adopted pursuant to § 906 of the Sarbanes-Oxley Act of 2002, to the best of my knowledge, that:</w:t>
      </w:r>
    </w:p>
    <w:p>
      <w:pPr>
        <w:spacing w:after="0" w:line="184" w:lineRule="exact"/>
        <w:rPr>
          <w:sz w:val="20"/>
          <w:szCs w:val="20"/>
          <w:color w:val="auto"/>
        </w:rPr>
      </w:pPr>
    </w:p>
    <w:p>
      <w:pPr>
        <w:ind w:left="1220" w:hanging="605"/>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360" w:hanging="605"/>
        <w:spacing w:after="0" w:line="277" w:lineRule="auto"/>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460" w:val="left"/>
          <w:tab w:leader="none" w:pos="78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24" w:lineRule="exact"/>
        <w:rPr>
          <w:sz w:val="20"/>
          <w:szCs w:val="20"/>
          <w:color w:val="auto"/>
        </w:rPr>
      </w:pPr>
    </w:p>
    <w:p>
      <w:pPr>
        <w:ind w:right="80" w:firstLine="61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80" w:firstLine="61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2020-05-11T15:43:18Z</dcterms:created>
  <dcterms:modified xsi:type="dcterms:W3CDTF">2020-05-11T15:43:18Z</dcterms:modified>
</cp:coreProperties>
</file>